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ascii="楷体" w:hAnsi="楷体" w:eastAsia="楷体" w:cs="楷体"/>
          <w:sz w:val="48"/>
          <w:szCs w:val="48"/>
        </w:rPr>
      </w:pPr>
      <w:r>
        <w:rPr>
          <w:rFonts w:hint="eastAsia" w:ascii="楷体" w:hAnsi="楷体" w:eastAsia="楷体" w:cs="楷体"/>
          <w:sz w:val="48"/>
          <w:szCs w:val="48"/>
        </w:rPr>
        <w:t>答疑回复</w:t>
      </w:r>
    </w:p>
    <w:p>
      <w:pPr>
        <w:pStyle w:val="3"/>
        <w:rPr>
          <w:rFonts w:ascii="楷体" w:hAnsi="楷体" w:eastAsia="楷体" w:cs="楷体"/>
        </w:rPr>
      </w:pPr>
    </w:p>
    <w:p>
      <w:pPr>
        <w:pStyle w:val="3"/>
        <w:rPr>
          <w:rFonts w:ascii="楷体" w:hAnsi="楷体" w:eastAsia="楷体" w:cs="楷体"/>
        </w:rPr>
      </w:pPr>
      <w:r>
        <w:rPr>
          <w:rFonts w:hint="eastAsia" w:ascii="楷体" w:hAnsi="楷体" w:eastAsia="楷体" w:cs="楷体"/>
        </w:rPr>
        <w:t>质疑1：</w:t>
      </w:r>
    </w:p>
    <w:p>
      <w:pPr>
        <w:rPr>
          <w:rFonts w:ascii="楷体" w:hAnsi="楷体" w:eastAsia="楷体" w:cs="楷体"/>
        </w:rPr>
      </w:pPr>
      <w:r>
        <w:rPr>
          <w:rFonts w:hint="eastAsia" w:ascii="楷体" w:hAnsi="楷体" w:eastAsia="楷体" w:cs="楷体"/>
        </w:rPr>
        <w:t>在招标文件中第21-22页：</w:t>
      </w:r>
    </w:p>
    <w:p>
      <w:pPr>
        <w:pStyle w:val="8"/>
        <w:ind w:firstLine="480"/>
        <w:rPr>
          <w:rFonts w:ascii="楷体" w:hAnsi="楷体" w:eastAsia="楷体" w:cs="楷体"/>
        </w:rPr>
      </w:pPr>
      <w:r>
        <w:rPr>
          <w:rFonts w:hint="eastAsia" w:ascii="楷体" w:hAnsi="楷体" w:eastAsia="楷体" w:cs="楷体"/>
        </w:rPr>
        <w:drawing>
          <wp:inline distT="0" distB="0" distL="0" distR="0">
            <wp:extent cx="5772150" cy="5476875"/>
            <wp:effectExtent l="0" t="0" r="635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772150" cy="5476875"/>
                    </a:xfrm>
                    <a:prstGeom prst="rect">
                      <a:avLst/>
                    </a:prstGeom>
                  </pic:spPr>
                </pic:pic>
              </a:graphicData>
            </a:graphic>
          </wp:inline>
        </w:drawing>
      </w:r>
    </w:p>
    <w:p>
      <w:pPr>
        <w:pStyle w:val="8"/>
        <w:ind w:firstLine="480"/>
        <w:rPr>
          <w:rFonts w:ascii="楷体" w:hAnsi="楷体" w:eastAsia="楷体" w:cs="楷体"/>
        </w:rPr>
      </w:pPr>
      <w:r>
        <w:rPr>
          <w:rFonts w:hint="eastAsia" w:ascii="楷体" w:hAnsi="楷体" w:eastAsia="楷体" w:cs="楷体"/>
        </w:rPr>
        <w:t>请问代理公司：这里的“其他符合性证明材料：货物主要技术指标和性能的详细说明（产品技术说明书、技术白皮书、产品彩页等文字资料、图纸和数据均可），备件和专用工具清单、检测报告等（如适用）。”</w:t>
      </w:r>
    </w:p>
    <w:p>
      <w:pPr>
        <w:pStyle w:val="8"/>
        <w:ind w:firstLine="480"/>
        <w:rPr>
          <w:rFonts w:ascii="楷体" w:hAnsi="楷体" w:eastAsia="楷体" w:cs="楷体"/>
        </w:rPr>
      </w:pPr>
      <w:r>
        <w:rPr>
          <w:rFonts w:hint="eastAsia" w:ascii="楷体" w:hAnsi="楷体" w:eastAsia="楷体" w:cs="楷体"/>
        </w:rPr>
        <w:t>1、我公司只提供技术参数偏离表能否作为响应此项的证明材料？</w:t>
      </w:r>
    </w:p>
    <w:p>
      <w:pPr>
        <w:pStyle w:val="8"/>
        <w:ind w:firstLine="480"/>
        <w:rPr>
          <w:rFonts w:ascii="楷体" w:hAnsi="楷体" w:eastAsia="楷体" w:cs="楷体"/>
        </w:rPr>
      </w:pPr>
      <w:r>
        <w:rPr>
          <w:rFonts w:hint="eastAsia" w:ascii="楷体" w:hAnsi="楷体" w:eastAsia="楷体" w:cs="楷体"/>
        </w:rPr>
        <w:t>2、招标清单中技术参数的“▲和★要求提供的检测报告或者其他证明材料”是必须要提供还是可以承诺提供？“▲和★要求”是作为评分标准还是资格要求？如果是评分要求，请问在评分标准的哪项？</w:t>
      </w:r>
    </w:p>
    <w:p>
      <w:pPr>
        <w:pStyle w:val="8"/>
        <w:ind w:firstLine="480"/>
        <w:rPr>
          <w:rFonts w:ascii="楷体" w:hAnsi="楷体" w:eastAsia="楷体" w:cs="楷体"/>
        </w:rPr>
      </w:pPr>
      <w:r>
        <w:rPr>
          <w:rFonts w:hint="eastAsia" w:ascii="楷体" w:hAnsi="楷体" w:eastAsia="楷体" w:cs="楷体"/>
        </w:rPr>
        <w:t>3、“▲和★要求”指向性太强，我公司要求删除。</w:t>
      </w:r>
    </w:p>
    <w:p>
      <w:pPr>
        <w:rPr>
          <w:rFonts w:ascii="楷体" w:hAnsi="楷体" w:eastAsia="楷体" w:cs="楷体"/>
        </w:rPr>
      </w:pPr>
    </w:p>
    <w:p>
      <w:pPr>
        <w:pStyle w:val="3"/>
        <w:rPr>
          <w:rFonts w:ascii="楷体" w:hAnsi="楷体" w:eastAsia="楷体" w:cs="楷体"/>
        </w:rPr>
      </w:pPr>
      <w:r>
        <w:rPr>
          <w:rFonts w:hint="eastAsia" w:ascii="楷体" w:hAnsi="楷体" w:eastAsia="楷体" w:cs="楷体"/>
        </w:rPr>
        <w:t>事实依据：</w:t>
      </w:r>
    </w:p>
    <w:p>
      <w:pPr>
        <w:rPr>
          <w:rFonts w:ascii="楷体" w:hAnsi="楷体" w:eastAsia="楷体" w:cs="楷体"/>
        </w:rPr>
      </w:pPr>
      <w:r>
        <w:rPr>
          <w:rFonts w:hint="eastAsia" w:ascii="楷体" w:hAnsi="楷体" w:eastAsia="楷体" w:cs="楷体"/>
        </w:rPr>
        <w:t>一、商用食品净化机</w:t>
      </w:r>
    </w:p>
    <w:p>
      <w:pPr>
        <w:pStyle w:val="8"/>
        <w:ind w:firstLine="0" w:firstLineChars="0"/>
        <w:rPr>
          <w:rFonts w:ascii="楷体" w:hAnsi="楷体" w:eastAsia="楷体" w:cs="楷体"/>
        </w:rPr>
      </w:pPr>
      <w:r>
        <w:rPr>
          <w:rFonts w:hint="eastAsia" w:ascii="楷体" w:hAnsi="楷体" w:eastAsia="楷体" w:cs="楷体"/>
        </w:rPr>
        <w:drawing>
          <wp:inline distT="0" distB="0" distL="0" distR="0">
            <wp:extent cx="6188710" cy="2117725"/>
            <wp:effectExtent l="0" t="0" r="889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188710" cy="2117725"/>
                    </a:xfrm>
                    <a:prstGeom prst="rect">
                      <a:avLst/>
                    </a:prstGeom>
                  </pic:spPr>
                </pic:pic>
              </a:graphicData>
            </a:graphic>
          </wp:inline>
        </w:drawing>
      </w:r>
    </w:p>
    <w:p>
      <w:pPr>
        <w:rPr>
          <w:rFonts w:ascii="楷体" w:hAnsi="楷体" w:eastAsia="楷体" w:cs="楷体"/>
        </w:rPr>
      </w:pPr>
      <w:r>
        <w:rPr>
          <w:rFonts w:hint="eastAsia" w:ascii="楷体" w:hAnsi="楷体" w:eastAsia="楷体" w:cs="楷体"/>
        </w:rPr>
        <w:t>▲要求提供以下5份检测报告：</w:t>
      </w:r>
    </w:p>
    <w:p>
      <w:pPr>
        <w:rPr>
          <w:rFonts w:ascii="楷体" w:hAnsi="楷体" w:eastAsia="楷体" w:cs="楷体"/>
        </w:rPr>
      </w:pPr>
      <w:r>
        <w:rPr>
          <w:rFonts w:hint="eastAsia" w:ascii="楷体" w:hAnsi="楷体" w:eastAsia="楷体" w:cs="楷体"/>
        </w:rPr>
        <w:t xml:space="preserve">1、▲依据GB/T19857-2005标准，6分钟内食材样品经设备运行后，孔雀石绿分解率≥91%；（提供具有CMA标识的检测报告并加盖送检方公章）                                                                                                                                                                                                                          </w:t>
      </w:r>
    </w:p>
    <w:p>
      <w:pPr>
        <w:rPr>
          <w:rFonts w:ascii="楷体" w:hAnsi="楷体" w:eastAsia="楷体" w:cs="楷体"/>
        </w:rPr>
      </w:pPr>
      <w:r>
        <w:rPr>
          <w:rFonts w:hint="eastAsia" w:ascii="楷体" w:hAnsi="楷体" w:eastAsia="楷体" w:cs="楷体"/>
        </w:rPr>
        <w:t xml:space="preserve">2、▲依据GB/Z 21922-2008、GB 5009.6-2016、GB 5009.268-2016、GB 5009.5-2016等标准，食材样品的能量五项净化前后对比没有明显损失；（提供具有CMA标识的检测报告并加盖送检方公章）                                                                                                                                                                                                                                                                                                                                                                                                                           </w:t>
      </w:r>
    </w:p>
    <w:p>
      <w:pPr>
        <w:rPr>
          <w:rFonts w:ascii="楷体" w:hAnsi="楷体" w:eastAsia="楷体" w:cs="楷体"/>
        </w:rPr>
      </w:pPr>
      <w:r>
        <w:rPr>
          <w:rFonts w:hint="eastAsia" w:ascii="楷体" w:hAnsi="楷体" w:eastAsia="楷体" w:cs="楷体"/>
        </w:rPr>
        <w:t>3、▲依据 农业部1025号公告-18-2008。食材样品经设备运行后，克伦特罗分解率≥99.5%；（提供具有CMA标识的检测报告并加盖送检方公章）</w:t>
      </w:r>
    </w:p>
    <w:p>
      <w:pPr>
        <w:rPr>
          <w:rFonts w:ascii="楷体" w:hAnsi="楷体" w:eastAsia="楷体" w:cs="楷体"/>
        </w:rPr>
      </w:pPr>
      <w:r>
        <w:rPr>
          <w:rFonts w:hint="eastAsia" w:ascii="楷体" w:hAnsi="楷体" w:eastAsia="楷体" w:cs="楷体"/>
        </w:rPr>
        <w:t xml:space="preserve">4、▲依据消毒技术规范（卫生部2002年版）。10分钟内食材样品经设备运行后，人类冠状病毒229E平均灭杀率≥99%；（提供权威检测报告并加盖送检方公章）                                                               </w:t>
      </w:r>
    </w:p>
    <w:p>
      <w:pPr>
        <w:rPr>
          <w:rFonts w:ascii="楷体" w:hAnsi="楷体" w:eastAsia="楷体" w:cs="楷体"/>
        </w:rPr>
      </w:pPr>
      <w:r>
        <w:rPr>
          <w:rFonts w:hint="eastAsia" w:ascii="楷体" w:hAnsi="楷体" w:eastAsia="楷体" w:cs="楷体"/>
        </w:rPr>
        <w:t>5、▲依据GB/T21312-2007、GB/T22338-2008等标准；蛋类经设备运行后，环丙沙星、氯霉素分解率≥96%；（提供具有CMA标识的检测报告并加盖送检方公章）</w:t>
      </w:r>
    </w:p>
    <w:p>
      <w:pPr>
        <w:rPr>
          <w:rFonts w:ascii="楷体" w:hAnsi="楷体" w:eastAsia="楷体" w:cs="楷体"/>
        </w:rPr>
      </w:pPr>
    </w:p>
    <w:p>
      <w:pPr>
        <w:pStyle w:val="8"/>
        <w:ind w:firstLine="480"/>
        <w:rPr>
          <w:rFonts w:ascii="楷体" w:hAnsi="楷体" w:eastAsia="楷体" w:cs="楷体"/>
        </w:rPr>
      </w:pPr>
      <w:r>
        <w:rPr>
          <w:rFonts w:hint="eastAsia" w:ascii="楷体" w:hAnsi="楷体" w:eastAsia="楷体" w:cs="楷体"/>
        </w:rPr>
        <w:t>根据我公司了解，品牌1水氪已经被某些单位报备，不会把资料再提供给其他投标单位，品牌3路易莱斯不具备以上5项检测报告，品牌2易萨朵具备4份检测报告，但也只是类似的检测报告，不可能和招标清单要求的一模一样。</w:t>
      </w:r>
    </w:p>
    <w:p>
      <w:pPr>
        <w:pStyle w:val="8"/>
        <w:ind w:firstLine="480"/>
        <w:rPr>
          <w:rFonts w:ascii="楷体" w:hAnsi="楷体" w:eastAsia="楷体" w:cs="楷体"/>
        </w:rPr>
      </w:pPr>
      <w:r>
        <w:rPr>
          <w:rFonts w:hint="eastAsia" w:ascii="楷体" w:hAnsi="楷体" w:eastAsia="楷体" w:cs="楷体"/>
        </w:rPr>
        <w:t>1、易萨朵具有GB/T19857-2005标准的检测报告，但检测报告上并不体现“6分钟内，分解率≥91%，CMA标识”等这些字样。</w:t>
      </w:r>
    </w:p>
    <w:p>
      <w:pPr>
        <w:pStyle w:val="8"/>
        <w:ind w:firstLine="480"/>
        <w:rPr>
          <w:rFonts w:ascii="楷体" w:hAnsi="楷体" w:eastAsia="楷体" w:cs="楷体"/>
        </w:rPr>
      </w:pPr>
      <w:r>
        <w:rPr>
          <w:rFonts w:hint="eastAsia" w:ascii="楷体" w:hAnsi="楷体" w:eastAsia="楷体" w:cs="楷体"/>
        </w:rPr>
        <w:t>2、依据GB/Z 21922-2008、GB 5009.6-2016、GB 5009.268-2016、GB 5009.5-2016等标准，食材样品的能量五项净化前后对比没有明显损失；（提供具有CMA标识的检测报告并加盖送检方公章）</w:t>
      </w:r>
    </w:p>
    <w:p>
      <w:pPr>
        <w:pStyle w:val="8"/>
        <w:ind w:firstLine="480"/>
        <w:rPr>
          <w:rFonts w:ascii="楷体" w:hAnsi="楷体" w:eastAsia="楷体" w:cs="楷体"/>
        </w:rPr>
      </w:pPr>
      <w:r>
        <w:rPr>
          <w:rFonts w:hint="eastAsia" w:ascii="楷体" w:hAnsi="楷体" w:eastAsia="楷体" w:cs="楷体"/>
        </w:rPr>
        <w:t>此处“GB 5009.6-2016”重复写了2次，食材样品的能量五项具体是什么五项？这些内容都存在问题。</w:t>
      </w:r>
    </w:p>
    <w:p>
      <w:pPr>
        <w:pStyle w:val="8"/>
        <w:ind w:firstLine="480"/>
        <w:rPr>
          <w:rFonts w:ascii="楷体" w:hAnsi="楷体" w:eastAsia="楷体" w:cs="楷体"/>
        </w:rPr>
      </w:pPr>
      <w:r>
        <w:rPr>
          <w:rFonts w:hint="eastAsia" w:ascii="楷体" w:hAnsi="楷体" w:eastAsia="楷体" w:cs="楷体"/>
        </w:rPr>
        <w:t>3、依据农业部1025号公告-18-2008。食材样品经设备运行后，克伦特罗分解率≥99.5%；（提供具有CMA标识的检测报告并加盖送检方公章）同1，易萨朵有克伦特罗分解率的检测报告，但分解率与本项要求不符，且不是所有检查报告都是带CMA标识的。</w:t>
      </w:r>
    </w:p>
    <w:p>
      <w:pPr>
        <w:pStyle w:val="8"/>
        <w:ind w:firstLine="480"/>
        <w:rPr>
          <w:rFonts w:ascii="楷体" w:hAnsi="楷体" w:eastAsia="楷体" w:cs="楷体"/>
        </w:rPr>
      </w:pPr>
      <w:r>
        <w:rPr>
          <w:rFonts w:hint="eastAsia" w:ascii="楷体" w:hAnsi="楷体" w:eastAsia="楷体" w:cs="楷体"/>
        </w:rPr>
        <w:t>4、依据消毒技术规范（卫生部2002年版）。10分钟内食材样品经设备运行后，人类冠状病毒229E平均灭杀率≥99%；（提供权威检测报告并加盖送检方公章）同1，易萨朵有冠状病毒的检测报告，但检测内容是11分钟内，而不是10分钟内。</w:t>
      </w:r>
    </w:p>
    <w:p>
      <w:pPr>
        <w:pStyle w:val="8"/>
        <w:ind w:firstLine="480"/>
        <w:rPr>
          <w:rFonts w:ascii="楷体" w:hAnsi="楷体" w:eastAsia="楷体" w:cs="楷体"/>
        </w:rPr>
      </w:pPr>
      <w:r>
        <w:rPr>
          <w:rFonts w:hint="eastAsia" w:ascii="楷体" w:hAnsi="楷体" w:eastAsia="楷体" w:cs="楷体"/>
        </w:rPr>
        <w:t>5、依据GB/T21312-2007、GB/T22338-2008等标准；蛋类经设备运行后，环丙沙星、氯霉素分解率≥96%；（提供具有CMA标识的检测报告并加盖送检方公章）同1，易萨朵有类似激素的检测报告，但检测内容不一定是环丙沙星、氯霉素，这些指向性都太强，属于唯一品牌的生产厂家才会具有。</w:t>
      </w:r>
    </w:p>
    <w:p>
      <w:pPr>
        <w:pStyle w:val="8"/>
        <w:ind w:firstLine="480"/>
        <w:rPr>
          <w:rFonts w:ascii="楷体" w:hAnsi="楷体" w:eastAsia="楷体" w:cs="楷体"/>
        </w:rPr>
      </w:pPr>
      <w:r>
        <w:rPr>
          <w:rFonts w:hint="eastAsia" w:ascii="楷体" w:hAnsi="楷体" w:eastAsia="楷体" w:cs="楷体"/>
        </w:rPr>
        <w:t>综上所述，代理机构不应该用这种特定的检测报告来作为资格或评分标准，每个厂家的检测报告上的数据都是不一样的，各有特点，不能按照特定的检测报告来否定其他厂家的检测报告。</w:t>
      </w:r>
    </w:p>
    <w:p>
      <w:pPr>
        <w:pStyle w:val="8"/>
        <w:ind w:firstLine="480"/>
        <w:rPr>
          <w:rFonts w:ascii="楷体" w:hAnsi="楷体" w:eastAsia="楷体" w:cs="楷体"/>
        </w:rPr>
      </w:pPr>
      <w:r>
        <w:rPr>
          <w:rFonts w:hint="eastAsia" w:ascii="楷体" w:hAnsi="楷体" w:eastAsia="楷体" w:cs="楷体"/>
        </w:rPr>
        <w:t>而且能满足该检测报告又能满足招标技术参数的厂家是特定制造商，且该品牌的制造商已经被某些单位报备，其他投标人无法拿到对应的资料。既然已经给了推荐品牌和技术要求，投标人只需根据要求提供对应品牌的产品即可，能不能拿到检测报告都不会影响产品的质量，采购人买的是产品而不是检测报告。</w:t>
      </w:r>
    </w:p>
    <w:p>
      <w:pPr>
        <w:pStyle w:val="8"/>
        <w:ind w:firstLine="480"/>
        <w:rPr>
          <w:rFonts w:ascii="楷体" w:hAnsi="楷体" w:eastAsia="楷体" w:cs="楷体"/>
          <w:color w:val="000000"/>
          <w:shd w:val="clear" w:color="auto" w:fill="FFFFFF"/>
        </w:rPr>
      </w:pPr>
      <w:r>
        <w:rPr>
          <w:rFonts w:hint="eastAsia" w:ascii="楷体" w:hAnsi="楷体" w:eastAsia="楷体" w:cs="楷体"/>
        </w:rPr>
        <w:t>以上违反中华人民共和国招标投标法第三十二条：（二）设定的资格、技术、商务条件与采购项目的具体特点和实际需要不相适应或者与合同履行无关；（五）限定或者指定特定的专利、商标、品牌、原产地或者供应商；</w:t>
      </w:r>
      <w:r>
        <w:rPr>
          <w:rFonts w:hint="eastAsia" w:ascii="楷体" w:hAnsi="楷体" w:eastAsia="楷体" w:cs="楷体"/>
          <w:color w:val="000000"/>
          <w:shd w:val="clear" w:color="auto" w:fill="FFFFFF"/>
        </w:rPr>
        <w:t>（七）以其他不合理条件限制、排斥潜在投标人或者投标人。</w:t>
      </w:r>
    </w:p>
    <w:p>
      <w:pPr>
        <w:pStyle w:val="8"/>
        <w:ind w:firstLine="480"/>
        <w:rPr>
          <w:rFonts w:ascii="楷体" w:hAnsi="楷体" w:eastAsia="楷体" w:cs="楷体"/>
        </w:rPr>
      </w:pPr>
      <w:r>
        <w:rPr>
          <w:rFonts w:hint="eastAsia" w:ascii="楷体" w:hAnsi="楷体" w:eastAsia="楷体" w:cs="楷体"/>
        </w:rPr>
        <w:t>同时违反中华人民共和国政府采购法实施条例（国务院令第658号）第二十条：（三）采购需求中的技术、服务等要求指向特定供应商、特定产品；（六）限定或者指定特定的专利、商标、品牌或者供应商；（八）以其他不合理条件限制或者排斥潜在供应商。</w:t>
      </w:r>
    </w:p>
    <w:p>
      <w:pPr>
        <w:rPr>
          <w:rFonts w:ascii="楷体" w:hAnsi="楷体" w:eastAsia="楷体" w:cs="楷体"/>
        </w:rPr>
      </w:pPr>
    </w:p>
    <w:p>
      <w:pPr>
        <w:ind w:firstLine="480" w:firstLineChars="200"/>
        <w:rPr>
          <w:rFonts w:ascii="楷体" w:hAnsi="楷体" w:eastAsia="楷体" w:cs="楷体"/>
        </w:rPr>
      </w:pPr>
      <w:r>
        <w:rPr>
          <w:rFonts w:hint="eastAsia" w:ascii="楷体" w:hAnsi="楷体" w:eastAsia="楷体" w:cs="楷体"/>
        </w:rPr>
        <w:t>最后，代理机构提供的清单中这3个品牌都不满足“▲”检测报告也十分不合理，既然是推荐品牌，那肯定是需要考察和斟酌的</w:t>
      </w:r>
      <w:r>
        <w:rPr>
          <w:rFonts w:hint="eastAsia" w:ascii="楷体" w:hAnsi="楷体" w:eastAsia="楷体" w:cs="楷体"/>
          <w:bCs/>
          <w:iCs/>
        </w:rPr>
        <w:t>，不能随随便便就给出推荐品牌，</w:t>
      </w:r>
      <w:r>
        <w:rPr>
          <w:rFonts w:hint="eastAsia" w:ascii="楷体" w:hAnsi="楷体" w:eastAsia="楷体" w:cs="楷体"/>
        </w:rPr>
        <w:t>应该根据政府采购货物和服务招标投标管理办法（中华人民共和国财政部令第87号）第十条对市场调研和技术查询，确确实实的去了解，能满足本产品技术参数及相关检测报告（或者证书）的生产厂家是否有3家或者以上。</w:t>
      </w:r>
    </w:p>
    <w:p>
      <w:pPr>
        <w:pStyle w:val="8"/>
        <w:ind w:firstLine="480"/>
        <w:rPr>
          <w:rFonts w:ascii="楷体" w:hAnsi="楷体" w:eastAsia="楷体" w:cs="楷体"/>
        </w:rPr>
      </w:pPr>
      <w:r>
        <w:rPr>
          <w:rFonts w:hint="eastAsia" w:ascii="楷体" w:hAnsi="楷体" w:eastAsia="楷体" w:cs="楷体"/>
        </w:rPr>
        <w:t>因此我公司要求删除“▲”要求。</w:t>
      </w:r>
    </w:p>
    <w:p>
      <w:pPr>
        <w:rPr>
          <w:rFonts w:ascii="楷体" w:hAnsi="楷体" w:eastAsia="楷体" w:cs="楷体"/>
        </w:rPr>
      </w:pPr>
    </w:p>
    <w:p>
      <w:pPr>
        <w:pStyle w:val="8"/>
        <w:ind w:firstLine="0" w:firstLineChars="0"/>
        <w:rPr>
          <w:rFonts w:ascii="楷体" w:hAnsi="楷体" w:eastAsia="楷体" w:cs="楷体"/>
          <w:b/>
        </w:rPr>
      </w:pPr>
      <w:r>
        <w:rPr>
          <w:rFonts w:hint="eastAsia" w:ascii="楷体" w:hAnsi="楷体" w:eastAsia="楷体" w:cs="楷体"/>
          <w:b/>
        </w:rPr>
        <w:t>证明材料：</w:t>
      </w:r>
    </w:p>
    <w:p>
      <w:pPr>
        <w:rPr>
          <w:rFonts w:ascii="楷体" w:hAnsi="楷体" w:eastAsia="楷体" w:cs="楷体"/>
        </w:rPr>
      </w:pPr>
      <w:r>
        <w:rPr>
          <w:rFonts w:hint="eastAsia" w:ascii="楷体" w:hAnsi="楷体" w:eastAsia="楷体" w:cs="楷体"/>
        </w:rPr>
        <w:t>详见下页</w:t>
      </w:r>
    </w:p>
    <w:p>
      <w:pPr>
        <w:rPr>
          <w:rFonts w:ascii="楷体" w:hAnsi="楷体" w:eastAsia="楷体" w:cs="楷体"/>
        </w:rPr>
      </w:pPr>
      <w:r>
        <w:rPr>
          <w:rFonts w:hint="eastAsia" w:ascii="楷体" w:hAnsi="楷体" w:eastAsia="楷体" w:cs="楷体"/>
        </w:rPr>
        <w:drawing>
          <wp:inline distT="0" distB="0" distL="0" distR="0">
            <wp:extent cx="6188710" cy="8039735"/>
            <wp:effectExtent l="0" t="0" r="8890"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6188710" cy="8039735"/>
                    </a:xfrm>
                    <a:prstGeom prst="rect">
                      <a:avLst/>
                    </a:prstGeom>
                  </pic:spPr>
                </pic:pic>
              </a:graphicData>
            </a:graphic>
          </wp:inline>
        </w:drawing>
      </w:r>
      <w:r>
        <w:rPr>
          <w:rFonts w:hint="eastAsia" w:ascii="楷体" w:hAnsi="楷体" w:eastAsia="楷体" w:cs="楷体"/>
        </w:rPr>
        <w:drawing>
          <wp:inline distT="0" distB="0" distL="0" distR="0">
            <wp:extent cx="6124575" cy="8286750"/>
            <wp:effectExtent l="0" t="0" r="952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6124575" cy="8286750"/>
                    </a:xfrm>
                    <a:prstGeom prst="rect">
                      <a:avLst/>
                    </a:prstGeom>
                  </pic:spPr>
                </pic:pic>
              </a:graphicData>
            </a:graphic>
          </wp:inline>
        </w:drawing>
      </w:r>
      <w:r>
        <w:rPr>
          <w:rFonts w:hint="eastAsia" w:ascii="楷体" w:hAnsi="楷体" w:eastAsia="楷体" w:cs="楷体"/>
        </w:rPr>
        <w:drawing>
          <wp:inline distT="0" distB="0" distL="0" distR="0">
            <wp:extent cx="6115050" cy="8601075"/>
            <wp:effectExtent l="0" t="0" r="635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6115050" cy="8601075"/>
                    </a:xfrm>
                    <a:prstGeom prst="rect">
                      <a:avLst/>
                    </a:prstGeom>
                  </pic:spPr>
                </pic:pic>
              </a:graphicData>
            </a:graphic>
          </wp:inline>
        </w:drawing>
      </w:r>
      <w:r>
        <w:rPr>
          <w:rFonts w:hint="eastAsia" w:ascii="楷体" w:hAnsi="楷体" w:eastAsia="楷体" w:cs="楷体"/>
        </w:rPr>
        <w:drawing>
          <wp:inline distT="0" distB="0" distL="0" distR="0">
            <wp:extent cx="6188710" cy="8663940"/>
            <wp:effectExtent l="0" t="0" r="889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6188710" cy="8663940"/>
                    </a:xfrm>
                    <a:prstGeom prst="rect">
                      <a:avLst/>
                    </a:prstGeom>
                  </pic:spPr>
                </pic:pic>
              </a:graphicData>
            </a:graphic>
          </wp:inline>
        </w:drawing>
      </w:r>
      <w:r>
        <w:rPr>
          <w:rFonts w:hint="eastAsia" w:ascii="楷体" w:hAnsi="楷体" w:eastAsia="楷体" w:cs="楷体"/>
        </w:rPr>
        <w:drawing>
          <wp:inline distT="0" distB="0" distL="0" distR="0">
            <wp:extent cx="6188710" cy="8301990"/>
            <wp:effectExtent l="0" t="0" r="889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6188710" cy="8301990"/>
                    </a:xfrm>
                    <a:prstGeom prst="rect">
                      <a:avLst/>
                    </a:prstGeom>
                  </pic:spPr>
                </pic:pic>
              </a:graphicData>
            </a:graphic>
          </wp:inline>
        </w:drawing>
      </w:r>
      <w:r>
        <w:rPr>
          <w:rFonts w:hint="eastAsia" w:ascii="楷体" w:hAnsi="楷体" w:eastAsia="楷体" w:cs="楷体"/>
        </w:rPr>
        <w:drawing>
          <wp:inline distT="0" distB="0" distL="0" distR="0">
            <wp:extent cx="6188710" cy="8715375"/>
            <wp:effectExtent l="0" t="0" r="889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6188710" cy="8715375"/>
                    </a:xfrm>
                    <a:prstGeom prst="rect">
                      <a:avLst/>
                    </a:prstGeom>
                  </pic:spPr>
                </pic:pic>
              </a:graphicData>
            </a:graphic>
          </wp:inline>
        </w:drawing>
      </w:r>
      <w:r>
        <w:rPr>
          <w:rFonts w:hint="eastAsia" w:ascii="楷体" w:hAnsi="楷体" w:eastAsia="楷体" w:cs="楷体"/>
        </w:rPr>
        <w:drawing>
          <wp:inline distT="0" distB="0" distL="0" distR="0">
            <wp:extent cx="6188710" cy="8635365"/>
            <wp:effectExtent l="0" t="0" r="889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6188710" cy="8635365"/>
                    </a:xfrm>
                    <a:prstGeom prst="rect">
                      <a:avLst/>
                    </a:prstGeom>
                  </pic:spPr>
                </pic:pic>
              </a:graphicData>
            </a:graphic>
          </wp:inline>
        </w:drawing>
      </w:r>
      <w:r>
        <w:rPr>
          <w:rFonts w:hint="eastAsia" w:ascii="楷体" w:hAnsi="楷体" w:eastAsia="楷体" w:cs="楷体"/>
        </w:rPr>
        <w:drawing>
          <wp:inline distT="0" distB="0" distL="0" distR="0">
            <wp:extent cx="6188710" cy="7962265"/>
            <wp:effectExtent l="0" t="0" r="889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6188710" cy="7962265"/>
                    </a:xfrm>
                    <a:prstGeom prst="rect">
                      <a:avLst/>
                    </a:prstGeom>
                  </pic:spPr>
                </pic:pic>
              </a:graphicData>
            </a:graphic>
          </wp:inline>
        </w:drawing>
      </w:r>
      <w:r>
        <w:rPr>
          <w:rFonts w:hint="eastAsia" w:ascii="楷体" w:hAnsi="楷体" w:eastAsia="楷体" w:cs="楷体"/>
        </w:rPr>
        <w:drawing>
          <wp:inline distT="0" distB="0" distL="0" distR="0">
            <wp:extent cx="6188710" cy="8021955"/>
            <wp:effectExtent l="0" t="0" r="889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6188710" cy="8021955"/>
                    </a:xfrm>
                    <a:prstGeom prst="rect">
                      <a:avLst/>
                    </a:prstGeom>
                  </pic:spPr>
                </pic:pic>
              </a:graphicData>
            </a:graphic>
          </wp:inline>
        </w:drawing>
      </w:r>
    </w:p>
    <w:p>
      <w:pPr>
        <w:widowControl/>
        <w:adjustRightInd/>
        <w:snapToGrid/>
        <w:spacing w:line="240" w:lineRule="auto"/>
        <w:jc w:val="left"/>
        <w:rPr>
          <w:rFonts w:ascii="楷体" w:hAnsi="楷体" w:eastAsia="楷体" w:cs="楷体"/>
        </w:rPr>
      </w:pPr>
      <w:r>
        <w:rPr>
          <w:rFonts w:hint="eastAsia" w:ascii="楷体" w:hAnsi="楷体" w:eastAsia="楷体" w:cs="楷体"/>
        </w:rPr>
        <w:br w:type="page"/>
      </w:r>
    </w:p>
    <w:p>
      <w:pPr>
        <w:rPr>
          <w:rFonts w:ascii="楷体" w:hAnsi="楷体" w:eastAsia="楷体" w:cs="楷体"/>
        </w:rPr>
      </w:pPr>
      <w:r>
        <w:rPr>
          <w:rFonts w:hint="eastAsia" w:ascii="楷体" w:hAnsi="楷体" w:eastAsia="楷体" w:cs="楷体"/>
        </w:rPr>
        <w:t>二、灭火系统</w:t>
      </w:r>
    </w:p>
    <w:p>
      <w:pPr>
        <w:rPr>
          <w:rFonts w:ascii="楷体" w:hAnsi="楷体" w:eastAsia="楷体" w:cs="楷体"/>
        </w:rPr>
      </w:pPr>
      <w:r>
        <w:rPr>
          <w:rFonts w:hint="eastAsia" w:ascii="楷体" w:hAnsi="楷体" w:eastAsia="楷体" w:cs="楷体"/>
        </w:rPr>
        <w:drawing>
          <wp:inline distT="0" distB="0" distL="0" distR="0">
            <wp:extent cx="6188710" cy="311785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6188710" cy="3117850"/>
                    </a:xfrm>
                    <a:prstGeom prst="rect">
                      <a:avLst/>
                    </a:prstGeom>
                  </pic:spPr>
                </pic:pic>
              </a:graphicData>
            </a:graphic>
          </wp:inline>
        </w:drawing>
      </w:r>
    </w:p>
    <w:p>
      <w:pPr>
        <w:rPr>
          <w:rFonts w:ascii="楷体" w:hAnsi="楷体" w:eastAsia="楷体" w:cs="楷体"/>
        </w:rPr>
      </w:pPr>
      <w:r>
        <w:rPr>
          <w:rFonts w:hint="eastAsia" w:ascii="楷体" w:hAnsi="楷体" w:eastAsia="楷体" w:cs="楷体"/>
        </w:rPr>
        <w:t>同上，我公司了解到满足招标“4、▲充装灭火剂的药剂瓶应符合GB/T2423.22-2012标准，提供合格的检测报告。5、▲装置使用的灭火剂有效期不少于8年，需提供《国家固定灭火系统和耐火构件质量监督检验中心》出具的型式试验报告证明此项。6、▲灭火程序启动后的灶台只需要清水清洗即可，灭火剂0毒性，需提供公安部或应急管理部直属机构出具的《食用油专用灭火剂全项试验报告》、《食用油专用灭火剂毒性试验报告》。”只有推荐品牌1环峰。且环峰厂家已经被报备，其他投标人无法拿到这些检测报告。</w:t>
      </w:r>
    </w:p>
    <w:p>
      <w:pPr>
        <w:rPr>
          <w:rFonts w:ascii="楷体" w:hAnsi="楷体" w:eastAsia="楷体" w:cs="楷体"/>
        </w:rPr>
      </w:pPr>
      <w:r>
        <w:rPr>
          <w:rFonts w:hint="eastAsia" w:ascii="楷体" w:hAnsi="楷体" w:eastAsia="楷体" w:cs="楷体"/>
        </w:rPr>
        <w:t>因此我公司要求删除“▲”要求。</w:t>
      </w:r>
    </w:p>
    <w:p>
      <w:pPr>
        <w:rPr>
          <w:rFonts w:ascii="楷体" w:hAnsi="楷体" w:eastAsia="楷体" w:cs="楷体"/>
        </w:rPr>
      </w:pPr>
    </w:p>
    <w:p>
      <w:pPr>
        <w:rPr>
          <w:rFonts w:ascii="楷体" w:hAnsi="楷体" w:eastAsia="楷体" w:cs="楷体"/>
        </w:rPr>
      </w:pPr>
      <w:r>
        <w:rPr>
          <w:rFonts w:hint="eastAsia" w:ascii="楷体" w:hAnsi="楷体" w:eastAsia="楷体" w:cs="楷体"/>
        </w:rPr>
        <w:t>三、上 药 餐 厅 智 能 结 算 系 统</w:t>
      </w:r>
    </w:p>
    <w:p>
      <w:pPr>
        <w:rPr>
          <w:rFonts w:ascii="楷体" w:hAnsi="楷体" w:eastAsia="楷体" w:cs="楷体"/>
        </w:rPr>
      </w:pPr>
      <w:r>
        <w:rPr>
          <w:rFonts w:hint="eastAsia" w:ascii="楷体" w:hAnsi="楷体" w:eastAsia="楷体" w:cs="楷体"/>
        </w:rPr>
        <w:t>同上，我公司了解到满足清单中“★要求及要提供的响应检测报告或者证明资料”只有推荐品牌的唯一品牌具有。且对应厂家已经被报备，其他投标人无法拿到这些检测报告。</w:t>
      </w:r>
    </w:p>
    <w:p>
      <w:pPr>
        <w:rPr>
          <w:rFonts w:ascii="楷体" w:hAnsi="楷体" w:eastAsia="楷体" w:cs="楷体"/>
        </w:rPr>
      </w:pPr>
      <w:r>
        <w:rPr>
          <w:rFonts w:hint="eastAsia" w:ascii="楷体" w:hAnsi="楷体" w:eastAsia="楷体" w:cs="楷体"/>
        </w:rPr>
        <w:t>因此我公司要求删除★要求及要提供的证明资料。</w:t>
      </w:r>
    </w:p>
    <w:p>
      <w:pPr>
        <w:rPr>
          <w:rFonts w:ascii="楷体" w:hAnsi="楷体" w:eastAsia="楷体" w:cs="楷体"/>
        </w:rPr>
      </w:pPr>
    </w:p>
    <w:p>
      <w:pPr>
        <w:rPr>
          <w:rFonts w:ascii="楷体" w:hAnsi="楷体" w:eastAsia="楷体" w:cs="楷体"/>
        </w:rPr>
      </w:pPr>
      <w:r>
        <w:rPr>
          <w:rFonts w:hint="eastAsia" w:ascii="楷体" w:hAnsi="楷体" w:eastAsia="楷体" w:cs="楷体"/>
        </w:rPr>
        <w:drawing>
          <wp:inline distT="0" distB="0" distL="0" distR="0">
            <wp:extent cx="6188710" cy="3895090"/>
            <wp:effectExtent l="0" t="0" r="889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6188710" cy="3895090"/>
                    </a:xfrm>
                    <a:prstGeom prst="rect">
                      <a:avLst/>
                    </a:prstGeom>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0" distR="0">
            <wp:extent cx="6188710" cy="2987040"/>
            <wp:effectExtent l="0" t="0" r="889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6188710" cy="2987040"/>
                    </a:xfrm>
                    <a:prstGeom prst="rect">
                      <a:avLst/>
                    </a:prstGeom>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0" distR="0">
            <wp:extent cx="6188710" cy="2995295"/>
            <wp:effectExtent l="0" t="0" r="889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6188710" cy="2995295"/>
                    </a:xfrm>
                    <a:prstGeom prst="rect">
                      <a:avLst/>
                    </a:prstGeom>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0" distR="0">
            <wp:extent cx="6188710" cy="582295"/>
            <wp:effectExtent l="0" t="0" r="889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6188710" cy="582295"/>
                    </a:xfrm>
                    <a:prstGeom prst="rect">
                      <a:avLst/>
                    </a:prstGeom>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0" distR="0">
            <wp:extent cx="6188710" cy="1176020"/>
            <wp:effectExtent l="0" t="0" r="889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6188710" cy="1176020"/>
                    </a:xfrm>
                    <a:prstGeom prst="rect">
                      <a:avLst/>
                    </a:prstGeom>
                  </pic:spPr>
                </pic:pic>
              </a:graphicData>
            </a:graphic>
          </wp:inline>
        </w:drawing>
      </w:r>
    </w:p>
    <w:p>
      <w:pPr>
        <w:pStyle w:val="9"/>
        <w:rPr>
          <w:rFonts w:ascii="楷体" w:hAnsi="楷体" w:eastAsia="楷体" w:cs="楷体"/>
          <w:sz w:val="28"/>
        </w:rPr>
      </w:pPr>
      <w:r>
        <w:rPr>
          <w:rFonts w:hint="eastAsia" w:ascii="楷体" w:hAnsi="楷体" w:eastAsia="楷体" w:cs="楷体"/>
          <w:sz w:val="28"/>
        </w:rPr>
        <w:t>法律依据：</w:t>
      </w:r>
    </w:p>
    <w:p>
      <w:pPr>
        <w:pStyle w:val="8"/>
        <w:ind w:firstLine="480"/>
        <w:rPr>
          <w:rFonts w:ascii="楷体" w:hAnsi="楷体" w:eastAsia="楷体" w:cs="楷体"/>
          <w:color w:val="000000"/>
          <w:shd w:val="clear" w:color="auto" w:fill="FFFFFF"/>
        </w:rPr>
      </w:pPr>
      <w:r>
        <w:rPr>
          <w:rFonts w:hint="eastAsia" w:ascii="楷体" w:hAnsi="楷体" w:eastAsia="楷体" w:cs="楷体"/>
        </w:rPr>
        <w:t>1、中华人民共和国招标投标法第三十二条：（二）设定的资格、技术、商务条件与采购项目的具体特点和实际需要不相适应或者与合同履行无关；（五）限定或者指定特定的专利、商标、品牌、原产地或者供应商；</w:t>
      </w:r>
      <w:r>
        <w:rPr>
          <w:rFonts w:hint="eastAsia" w:ascii="楷体" w:hAnsi="楷体" w:eastAsia="楷体" w:cs="楷体"/>
          <w:color w:val="000000"/>
          <w:shd w:val="clear" w:color="auto" w:fill="FFFFFF"/>
        </w:rPr>
        <w:t>（七）以其他不合理条件限制、排斥潜在投标人或者投标人。</w:t>
      </w:r>
    </w:p>
    <w:p>
      <w:pPr>
        <w:pStyle w:val="8"/>
        <w:ind w:firstLine="480"/>
        <w:rPr>
          <w:rFonts w:ascii="楷体" w:hAnsi="楷体" w:eastAsia="楷体" w:cs="楷体"/>
        </w:rPr>
      </w:pPr>
      <w:r>
        <w:rPr>
          <w:rFonts w:hint="eastAsia" w:ascii="楷体" w:hAnsi="楷体" w:eastAsia="楷体" w:cs="楷体"/>
        </w:rPr>
        <w:t>2、政府采购货物和服务招标投标管理办法（中华人民共和国财政部令第87号）第十七条：采购人、采购代理机构不得通过将除进口货物以外的生产厂家授权、承诺、证明、背书等作为资格要求，对投标人实行差别待遇或者歧视待遇。</w:t>
      </w:r>
    </w:p>
    <w:p>
      <w:pPr>
        <w:pStyle w:val="8"/>
        <w:ind w:firstLine="480"/>
        <w:rPr>
          <w:rFonts w:ascii="楷体" w:hAnsi="楷体" w:eastAsia="楷体" w:cs="楷体"/>
        </w:rPr>
      </w:pPr>
      <w:r>
        <w:rPr>
          <w:rFonts w:hint="eastAsia" w:ascii="楷体" w:hAnsi="楷体" w:eastAsia="楷体" w:cs="楷体"/>
        </w:rPr>
        <w:t>3、中华人民共和国政府采购法实施条例（国务院令第658号）第二十条：（三）采购需求中的技术、服务等要求指向特定供应商、特定产品；（六）限定或者指定特定的专利、商标、品牌或者供应商；（八）以其他不合理条件限制或者排斥潜在供应商。</w:t>
      </w:r>
    </w:p>
    <w:p>
      <w:pPr>
        <w:pStyle w:val="8"/>
        <w:ind w:firstLine="480"/>
        <w:rPr>
          <w:rFonts w:ascii="楷体" w:hAnsi="楷体" w:eastAsia="楷体" w:cs="楷体"/>
        </w:rPr>
      </w:pPr>
      <w:r>
        <w:rPr>
          <w:rFonts w:hint="eastAsia" w:ascii="楷体" w:hAnsi="楷体" w:eastAsia="楷体" w:cs="楷体"/>
        </w:rPr>
        <w:t>4、政府采购货物和服务招标投标管理办法（中华人民共和国财政部令第87号）第十条采购人应当对采购标的的市场技术或者服务水平、供应、价格等情况进行市场调查，根据调查情况、资产配置标准等科学、合理地确定采购需求，进行价格测算。</w:t>
      </w:r>
    </w:p>
    <w:p>
      <w:pPr>
        <w:rPr>
          <w:rFonts w:ascii="楷体" w:hAnsi="楷体" w:eastAsia="楷体" w:cs="楷体"/>
          <w:color w:val="FF0000"/>
          <w:sz w:val="28"/>
          <w:szCs w:val="28"/>
        </w:rPr>
      </w:pPr>
    </w:p>
    <w:p>
      <w:pPr>
        <w:rPr>
          <w:rFonts w:ascii="楷体" w:hAnsi="楷体" w:eastAsia="楷体" w:cs="楷体"/>
          <w:color w:val="FF0000"/>
          <w:sz w:val="28"/>
          <w:szCs w:val="28"/>
          <w:highlight w:val="yellow"/>
        </w:rPr>
      </w:pPr>
      <w:r>
        <w:rPr>
          <w:rFonts w:hint="eastAsia" w:ascii="楷体" w:hAnsi="楷体" w:eastAsia="楷体" w:cs="楷体"/>
          <w:color w:val="FF0000"/>
          <w:sz w:val="28"/>
          <w:szCs w:val="28"/>
          <w:highlight w:val="yellow"/>
        </w:rPr>
        <w:t>回复：1、投标时可以只提供技术参数偏离表作为此项的证明材料。</w:t>
      </w:r>
    </w:p>
    <w:p>
      <w:pPr>
        <w:ind w:firstLine="840" w:firstLineChars="300"/>
        <w:rPr>
          <w:rFonts w:ascii="楷体" w:hAnsi="楷体" w:eastAsia="楷体" w:cs="楷体"/>
          <w:color w:val="FF0000"/>
          <w:sz w:val="28"/>
          <w:szCs w:val="28"/>
          <w:highlight w:val="yellow"/>
        </w:rPr>
      </w:pPr>
      <w:r>
        <w:rPr>
          <w:rFonts w:hint="eastAsia" w:ascii="楷体" w:hAnsi="楷体" w:eastAsia="楷体" w:cs="楷体"/>
          <w:color w:val="FF0000"/>
          <w:sz w:val="28"/>
          <w:szCs w:val="28"/>
          <w:highlight w:val="yellow"/>
        </w:rPr>
        <w:t>2、招标文件要求的检测报告或者其他证明材料在中标后提供，不作为评分要求。</w:t>
      </w:r>
    </w:p>
    <w:p>
      <w:pPr>
        <w:ind w:firstLine="840" w:firstLineChars="300"/>
        <w:rPr>
          <w:rFonts w:ascii="楷体" w:hAnsi="楷体" w:eastAsia="楷体" w:cs="楷体"/>
          <w:color w:val="FF0000"/>
          <w:sz w:val="28"/>
          <w:szCs w:val="28"/>
          <w:highlight w:val="yellow"/>
        </w:rPr>
      </w:pPr>
      <w:r>
        <w:rPr>
          <w:rFonts w:hint="eastAsia" w:ascii="楷体" w:hAnsi="楷体" w:eastAsia="楷体" w:cs="楷体"/>
          <w:color w:val="FF0000"/>
          <w:sz w:val="28"/>
          <w:szCs w:val="28"/>
          <w:highlight w:val="yellow"/>
        </w:rPr>
        <w:t>3、原“▲和★要求”项作调整，详见调整后的设备清单。</w:t>
      </w:r>
    </w:p>
    <w:p>
      <w:pPr>
        <w:rPr>
          <w:rFonts w:ascii="楷体" w:hAnsi="楷体" w:eastAsia="楷体" w:cs="楷体"/>
        </w:rPr>
      </w:pPr>
    </w:p>
    <w:p>
      <w:pPr>
        <w:pStyle w:val="3"/>
        <w:rPr>
          <w:rFonts w:ascii="楷体" w:hAnsi="楷体" w:eastAsia="楷体" w:cs="楷体"/>
        </w:rPr>
      </w:pPr>
      <w:r>
        <w:rPr>
          <w:rFonts w:hint="eastAsia" w:ascii="楷体" w:hAnsi="楷体" w:eastAsia="楷体" w:cs="楷体"/>
        </w:rPr>
        <w:t>质疑2：</w:t>
      </w:r>
    </w:p>
    <w:p>
      <w:pPr>
        <w:rPr>
          <w:rFonts w:ascii="楷体" w:hAnsi="楷体" w:eastAsia="楷体" w:cs="楷体"/>
        </w:rPr>
      </w:pPr>
      <w:r>
        <w:rPr>
          <w:rFonts w:hint="eastAsia" w:ascii="楷体" w:hAnsi="楷体" w:eastAsia="楷体" w:cs="楷体"/>
        </w:rPr>
        <w:t>在招标文件中第42页：</w:t>
      </w:r>
    </w:p>
    <w:p>
      <w:pPr>
        <w:jc w:val="center"/>
        <w:rPr>
          <w:rFonts w:ascii="楷体" w:hAnsi="楷体" w:eastAsia="楷体" w:cs="楷体"/>
        </w:rPr>
      </w:pPr>
      <w:r>
        <w:rPr>
          <w:rFonts w:hint="eastAsia" w:ascii="楷体" w:hAnsi="楷体" w:eastAsia="楷体" w:cs="楷体"/>
        </w:rPr>
        <w:drawing>
          <wp:inline distT="0" distB="0" distL="0" distR="0">
            <wp:extent cx="5924550" cy="499110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924550" cy="4991100"/>
                    </a:xfrm>
                    <a:prstGeom prst="rect">
                      <a:avLst/>
                    </a:prstGeom>
                  </pic:spPr>
                </pic:pic>
              </a:graphicData>
            </a:graphic>
          </wp:inline>
        </w:drawing>
      </w:r>
    </w:p>
    <w:p>
      <w:pPr>
        <w:pStyle w:val="8"/>
        <w:ind w:firstLine="480"/>
        <w:rPr>
          <w:rFonts w:ascii="楷体" w:hAnsi="楷体" w:eastAsia="楷体" w:cs="楷体"/>
        </w:rPr>
      </w:pPr>
      <w:r>
        <w:rPr>
          <w:rFonts w:hint="eastAsia" w:ascii="楷体" w:hAnsi="楷体" w:eastAsia="楷体" w:cs="楷体"/>
        </w:rPr>
        <w:t>请问代理机构，样品为实质性响应要求吗？我公司认为既然样品作为评分，那就不应该再作为废标条款。不提供样品或者样品的参数与招标文件不符不应该作为无效投标。</w:t>
      </w:r>
    </w:p>
    <w:p>
      <w:pPr>
        <w:rPr>
          <w:rFonts w:ascii="楷体" w:hAnsi="楷体" w:eastAsia="楷体" w:cs="楷体"/>
        </w:rPr>
      </w:pPr>
    </w:p>
    <w:p>
      <w:pPr>
        <w:rPr>
          <w:rFonts w:ascii="楷体" w:hAnsi="楷体" w:eastAsia="楷体" w:cs="楷体"/>
          <w:color w:val="FF0000"/>
          <w:sz w:val="28"/>
          <w:szCs w:val="28"/>
          <w:highlight w:val="yellow"/>
        </w:rPr>
      </w:pPr>
      <w:r>
        <w:rPr>
          <w:rFonts w:hint="eastAsia" w:ascii="楷体" w:hAnsi="楷体" w:eastAsia="楷体" w:cs="楷体"/>
          <w:color w:val="FF0000"/>
          <w:sz w:val="28"/>
          <w:szCs w:val="28"/>
          <w:highlight w:val="yellow"/>
        </w:rPr>
        <w:t>回复：招标文件中样品的参数、参考图片都是基本要求，仅做评分要求，允许偏离。如不提供样品作无效响应处理。</w:t>
      </w:r>
    </w:p>
    <w:p>
      <w:pPr>
        <w:pStyle w:val="2"/>
        <w:rPr>
          <w:rFonts w:ascii="楷体" w:hAnsi="楷体" w:eastAsia="楷体" w:cs="楷体"/>
          <w:lang w:eastAsia="zh-CN"/>
        </w:rPr>
      </w:pPr>
    </w:p>
    <w:p>
      <w:pPr>
        <w:pStyle w:val="3"/>
        <w:rPr>
          <w:rFonts w:ascii="楷体" w:hAnsi="楷体" w:eastAsia="楷体" w:cs="楷体"/>
        </w:rPr>
      </w:pPr>
      <w:r>
        <w:rPr>
          <w:rFonts w:hint="eastAsia" w:ascii="楷体" w:hAnsi="楷体" w:eastAsia="楷体" w:cs="楷体"/>
        </w:rPr>
        <w:t>质疑3：</w:t>
      </w:r>
    </w:p>
    <w:p>
      <w:pPr>
        <w:rPr>
          <w:rFonts w:ascii="楷体" w:hAnsi="楷体" w:eastAsia="楷体" w:cs="楷体"/>
        </w:rPr>
      </w:pPr>
      <w:r>
        <w:rPr>
          <w:rFonts w:hint="eastAsia" w:ascii="楷体" w:hAnsi="楷体" w:eastAsia="楷体" w:cs="楷体"/>
        </w:rPr>
        <w:t>在招标文件中第47页和第2页：</w:t>
      </w:r>
    </w:p>
    <w:p>
      <w:pPr>
        <w:rPr>
          <w:rFonts w:ascii="楷体" w:hAnsi="楷体" w:eastAsia="楷体" w:cs="楷体"/>
          <w:b/>
        </w:rPr>
      </w:pPr>
    </w:p>
    <w:p>
      <w:pPr>
        <w:rPr>
          <w:rFonts w:ascii="楷体" w:hAnsi="楷体" w:eastAsia="楷体" w:cs="楷体"/>
          <w:b/>
        </w:rPr>
      </w:pPr>
      <w:r>
        <w:rPr>
          <w:rFonts w:hint="eastAsia" w:ascii="楷体" w:hAnsi="楷体" w:eastAsia="楷体" w:cs="楷体"/>
        </w:rPr>
        <w:drawing>
          <wp:inline distT="0" distB="0" distL="0" distR="0">
            <wp:extent cx="5934075" cy="2676525"/>
            <wp:effectExtent l="0" t="0" r="952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934075" cy="2676525"/>
                    </a:xfrm>
                    <a:prstGeom prst="rect">
                      <a:avLst/>
                    </a:prstGeom>
                  </pic:spPr>
                </pic:pic>
              </a:graphicData>
            </a:graphic>
          </wp:inline>
        </w:drawing>
      </w:r>
    </w:p>
    <w:p>
      <w:pPr>
        <w:rPr>
          <w:rFonts w:ascii="楷体" w:hAnsi="楷体" w:eastAsia="楷体" w:cs="楷体"/>
          <w:b/>
        </w:rPr>
      </w:pPr>
      <w:r>
        <w:rPr>
          <w:rFonts w:hint="eastAsia" w:ascii="楷体" w:hAnsi="楷体" w:eastAsia="楷体" w:cs="楷体"/>
        </w:rPr>
        <w:drawing>
          <wp:inline distT="0" distB="0" distL="0" distR="0">
            <wp:extent cx="6143625" cy="1476375"/>
            <wp:effectExtent l="0" t="0" r="317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6143625" cy="1476375"/>
                    </a:xfrm>
                    <a:prstGeom prst="rect">
                      <a:avLst/>
                    </a:prstGeom>
                  </pic:spPr>
                </pic:pic>
              </a:graphicData>
            </a:graphic>
          </wp:inline>
        </w:drawing>
      </w:r>
    </w:p>
    <w:p>
      <w:pPr>
        <w:rPr>
          <w:rFonts w:ascii="楷体" w:hAnsi="楷体" w:eastAsia="楷体" w:cs="楷体"/>
          <w:b/>
        </w:rPr>
      </w:pPr>
    </w:p>
    <w:p>
      <w:pPr>
        <w:rPr>
          <w:rFonts w:ascii="楷体" w:hAnsi="楷体" w:eastAsia="楷体" w:cs="楷体"/>
          <w:b/>
        </w:rPr>
      </w:pPr>
      <w:r>
        <w:rPr>
          <w:rFonts w:hint="eastAsia" w:ascii="楷体" w:hAnsi="楷体" w:eastAsia="楷体" w:cs="楷体"/>
          <w:b/>
        </w:rPr>
        <w:t>请问代理公司，评分中的投标人业绩和资格要求的业绩是否能共用？评分中放了与资格相同的业绩，是否能得分?</w:t>
      </w:r>
    </w:p>
    <w:p>
      <w:pPr>
        <w:pStyle w:val="2"/>
        <w:ind w:left="0"/>
        <w:rPr>
          <w:rFonts w:ascii="楷体" w:hAnsi="楷体" w:eastAsia="楷体" w:cs="楷体"/>
          <w:lang w:eastAsia="zh-CN"/>
        </w:rPr>
      </w:pPr>
    </w:p>
    <w:p>
      <w:pPr>
        <w:rPr>
          <w:rFonts w:ascii="楷体" w:hAnsi="楷体" w:eastAsia="楷体" w:cs="楷体"/>
          <w:color w:val="FF0000"/>
          <w:sz w:val="30"/>
          <w:szCs w:val="30"/>
          <w:highlight w:val="yellow"/>
        </w:rPr>
      </w:pPr>
      <w:r>
        <w:rPr>
          <w:rFonts w:hint="eastAsia" w:ascii="楷体" w:hAnsi="楷体" w:eastAsia="楷体" w:cs="楷体"/>
          <w:color w:val="FF0000"/>
          <w:sz w:val="30"/>
          <w:szCs w:val="30"/>
          <w:highlight w:val="yellow"/>
        </w:rPr>
        <w:t>回复：可以共用。</w:t>
      </w:r>
    </w:p>
    <w:p>
      <w:pPr>
        <w:spacing w:line="336" w:lineRule="auto"/>
        <w:rPr>
          <w:rFonts w:ascii="楷体" w:hAnsi="楷体" w:eastAsia="楷体" w:cs="楷体"/>
          <w:color w:val="FF0000"/>
          <w:sz w:val="28"/>
          <w:szCs w:val="28"/>
        </w:rPr>
      </w:pPr>
    </w:p>
    <w:p>
      <w:pPr>
        <w:spacing w:line="336" w:lineRule="auto"/>
        <w:rPr>
          <w:rFonts w:ascii="楷体" w:hAnsi="楷体" w:eastAsia="楷体" w:cs="楷体"/>
          <w:szCs w:val="24"/>
          <w:u w:val="dotted"/>
        </w:rPr>
      </w:pPr>
      <w:r>
        <w:rPr>
          <w:rFonts w:hint="eastAsia" w:ascii="楷体" w:hAnsi="楷体" w:eastAsia="楷体" w:cs="楷体"/>
          <w:b/>
          <w:szCs w:val="24"/>
        </w:rPr>
        <w:t>质疑事项4：</w:t>
      </w:r>
      <w:r>
        <w:rPr>
          <w:rFonts w:hint="eastAsia" w:ascii="楷体" w:hAnsi="楷体" w:eastAsia="楷体" w:cs="楷体"/>
          <w:szCs w:val="24"/>
          <w:u w:val="dotted"/>
        </w:rPr>
        <w:t>招标人为何在招标清单中设置★和▲要求，是否为某些单位量身定制，是否为排斥其他单位而设置？</w:t>
      </w:r>
    </w:p>
    <w:p>
      <w:pPr>
        <w:pStyle w:val="8"/>
        <w:ind w:firstLine="480"/>
        <w:rPr>
          <w:rFonts w:ascii="楷体" w:hAnsi="楷体" w:eastAsia="楷体" w:cs="楷体"/>
          <w:szCs w:val="24"/>
        </w:rPr>
      </w:pPr>
      <w:r>
        <w:rPr>
          <w:rFonts w:hint="eastAsia" w:ascii="楷体" w:hAnsi="楷体" w:eastAsia="楷体" w:cs="楷体"/>
          <w:szCs w:val="24"/>
        </w:rPr>
        <w:t>1、此项目招标清单中有很多提供检测报告或者证明材料的要求，十分不合理，经过我单位了解，本项目已经有前期参与本项目的投标单位把这些产品报备了，这些产品的生产厂家已经回复不会再提供给我单位这些检测报告，很明显，这就是排斥其他投标人来投标。</w:t>
      </w:r>
    </w:p>
    <w:p>
      <w:pPr>
        <w:pStyle w:val="8"/>
        <w:ind w:firstLine="480"/>
        <w:rPr>
          <w:rFonts w:ascii="楷体" w:hAnsi="楷体" w:eastAsia="楷体" w:cs="楷体"/>
          <w:szCs w:val="24"/>
        </w:rPr>
      </w:pPr>
      <w:r>
        <w:rPr>
          <w:rFonts w:hint="eastAsia" w:ascii="楷体" w:hAnsi="楷体" w:eastAsia="楷体" w:cs="楷体"/>
          <w:szCs w:val="24"/>
        </w:rPr>
        <w:t>2、检测检验报告仅对送检样品负责，也就是说，过去的检测检验报告并不能证明本批次厨房设备产品质量。因此，为了保证产品的质量，应采取更有效的举措。</w:t>
      </w:r>
    </w:p>
    <w:p>
      <w:pPr>
        <w:pStyle w:val="8"/>
        <w:ind w:firstLine="480"/>
        <w:rPr>
          <w:rFonts w:ascii="楷体" w:hAnsi="楷体" w:eastAsia="楷体" w:cs="楷体"/>
          <w:szCs w:val="24"/>
        </w:rPr>
      </w:pPr>
      <w:r>
        <w:rPr>
          <w:rFonts w:hint="eastAsia" w:ascii="楷体" w:hAnsi="楷体" w:eastAsia="楷体" w:cs="楷体"/>
          <w:szCs w:val="24"/>
        </w:rPr>
        <w:t>采购人关注的是本次厨房设备产品的质量，而不是以往出具的检验检测报告，检测报告只代表曾经有过这个东西，并不能代表本次采购的产品质量。因此，只有对产品生产过程及货物验收时进行监管，才能有效保证产品质量。</w:t>
      </w:r>
    </w:p>
    <w:p>
      <w:pPr>
        <w:pStyle w:val="8"/>
        <w:ind w:firstLine="480"/>
        <w:rPr>
          <w:rFonts w:ascii="楷体" w:hAnsi="楷体" w:eastAsia="楷体" w:cs="楷体"/>
          <w:szCs w:val="24"/>
        </w:rPr>
      </w:pPr>
      <w:r>
        <w:rPr>
          <w:rFonts w:hint="eastAsia" w:ascii="楷体" w:hAnsi="楷体" w:eastAsia="楷体" w:cs="楷体"/>
          <w:szCs w:val="24"/>
        </w:rPr>
        <w:t>只有要求出具中标产品的检验检测报告，这才代表产品真实的水平。</w:t>
      </w:r>
    </w:p>
    <w:p>
      <w:pPr>
        <w:pStyle w:val="8"/>
        <w:ind w:firstLine="480"/>
        <w:rPr>
          <w:rFonts w:ascii="楷体" w:hAnsi="楷体" w:eastAsia="楷体" w:cs="楷体"/>
          <w:szCs w:val="24"/>
        </w:rPr>
      </w:pPr>
      <w:r>
        <w:rPr>
          <w:rFonts w:hint="eastAsia" w:ascii="楷体" w:hAnsi="楷体" w:eastAsia="楷体" w:cs="楷体"/>
          <w:szCs w:val="24"/>
        </w:rPr>
        <w:t>为了保证产品的质量而提出要求，比如，在生产过程中，对半成品以及使用原辅材料进行抽检；成品完工之后，现场抽检一件成品，这样才能真实反映本批次产品的质量情况。出具固定产品的检测报告，并不能证明本次产品的质量情况，这是两件根本不相干的产品。</w:t>
      </w:r>
    </w:p>
    <w:p>
      <w:pPr>
        <w:pStyle w:val="8"/>
        <w:ind w:firstLine="480"/>
        <w:rPr>
          <w:rFonts w:ascii="楷体" w:hAnsi="楷体" w:eastAsia="楷体" w:cs="楷体"/>
          <w:szCs w:val="24"/>
        </w:rPr>
      </w:pPr>
      <w:r>
        <w:rPr>
          <w:rFonts w:hint="eastAsia" w:ascii="楷体" w:hAnsi="楷体" w:eastAsia="楷体" w:cs="楷体"/>
          <w:szCs w:val="24"/>
        </w:rPr>
        <w:t>我司建议，应加强事后监督检查：由采购人来检测，投标人专注于产品的生产和服务。</w:t>
      </w:r>
    </w:p>
    <w:p>
      <w:pPr>
        <w:pStyle w:val="8"/>
        <w:ind w:firstLine="480"/>
        <w:rPr>
          <w:rFonts w:ascii="楷体" w:hAnsi="楷体" w:eastAsia="楷体" w:cs="楷体"/>
          <w:szCs w:val="24"/>
        </w:rPr>
      </w:pPr>
      <w:r>
        <w:rPr>
          <w:rFonts w:hint="eastAsia" w:ascii="楷体" w:hAnsi="楷体" w:eastAsia="楷体" w:cs="楷体"/>
          <w:szCs w:val="24"/>
        </w:rPr>
        <w:t>以上★和▲要求属于以不合理条件限制、排斥潜在投标人或者投标人，以不合理的条件对供应商实行差别待遇或者歧视待遇。违反中华人民共和国政府采购法实施条例（国务院令第658号）第二十条（二）设定的资格、技术、商务条件与采购项目的具体特点和实际需要不相适应或者与合同履行无关；（三）采购需求中的技术、服务等要求指向特定供应商、特定产品；（六）限定或者指定特定的专利、商标、品牌或者供应商；（八）以其他不合理条件限制或者排斥潜在供应商。违反中华人民共和国招标投标法第三十二条：违反中华人民共和国招标投标法第三十二条：（二）设定的资格、技术、商务条件与采购项目的具体特点和实际需要不相适应或者与合同履行无关；（五）限定或者指定特定的专利、商标、品牌、原产地或者供应商；</w:t>
      </w:r>
    </w:p>
    <w:p>
      <w:pPr>
        <w:pStyle w:val="8"/>
        <w:ind w:firstLine="480"/>
        <w:rPr>
          <w:rFonts w:ascii="楷体" w:hAnsi="楷体" w:eastAsia="楷体" w:cs="楷体"/>
          <w:szCs w:val="24"/>
        </w:rPr>
      </w:pPr>
      <w:r>
        <w:rPr>
          <w:rFonts w:hint="eastAsia" w:ascii="楷体" w:hAnsi="楷体" w:eastAsia="楷体" w:cs="楷体"/>
          <w:szCs w:val="24"/>
        </w:rPr>
        <w:t>（七）以其他不合理条件限制、排斥潜在投标人或者投标人。</w:t>
      </w:r>
    </w:p>
    <w:p>
      <w:pPr>
        <w:spacing w:line="336" w:lineRule="auto"/>
        <w:rPr>
          <w:rFonts w:ascii="楷体" w:hAnsi="楷体" w:eastAsia="楷体" w:cs="楷体"/>
          <w:szCs w:val="24"/>
          <w:u w:val="dotted"/>
        </w:rPr>
      </w:pPr>
    </w:p>
    <w:p>
      <w:pPr>
        <w:spacing w:line="336" w:lineRule="auto"/>
        <w:rPr>
          <w:rFonts w:ascii="楷体" w:hAnsi="楷体" w:eastAsia="楷体" w:cs="楷体"/>
          <w:b/>
          <w:szCs w:val="24"/>
        </w:rPr>
      </w:pPr>
      <w:r>
        <w:rPr>
          <w:rFonts w:hint="eastAsia" w:ascii="楷体" w:hAnsi="楷体" w:eastAsia="楷体" w:cs="楷体"/>
          <w:b/>
          <w:szCs w:val="24"/>
        </w:rPr>
        <w:t>事实依据：见招标文件及清单。</w:t>
      </w:r>
    </w:p>
    <w:p>
      <w:pPr>
        <w:spacing w:line="336" w:lineRule="auto"/>
        <w:rPr>
          <w:rFonts w:ascii="楷体" w:hAnsi="楷体" w:eastAsia="楷体" w:cs="楷体"/>
          <w:b/>
          <w:szCs w:val="24"/>
        </w:rPr>
      </w:pPr>
      <w:r>
        <w:rPr>
          <w:rFonts w:hint="eastAsia" w:ascii="楷体" w:hAnsi="楷体" w:eastAsia="楷体" w:cs="楷体"/>
          <w:b/>
          <w:szCs w:val="24"/>
        </w:rPr>
        <w:t>以下是举例：</w:t>
      </w:r>
    </w:p>
    <w:p>
      <w:pPr>
        <w:spacing w:line="336" w:lineRule="auto"/>
        <w:jc w:val="center"/>
        <w:rPr>
          <w:rFonts w:ascii="楷体" w:hAnsi="楷体" w:eastAsia="楷体" w:cs="楷体"/>
          <w:szCs w:val="24"/>
        </w:rPr>
      </w:pPr>
      <w:r>
        <w:rPr>
          <w:rFonts w:hint="eastAsia" w:ascii="楷体" w:hAnsi="楷体" w:eastAsia="楷体" w:cs="楷体"/>
          <w:szCs w:val="24"/>
        </w:rPr>
        <w:drawing>
          <wp:inline distT="0" distB="0" distL="0" distR="0">
            <wp:extent cx="6188710" cy="2623820"/>
            <wp:effectExtent l="0" t="0" r="889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6188710" cy="2623820"/>
                    </a:xfrm>
                    <a:prstGeom prst="rect">
                      <a:avLst/>
                    </a:prstGeom>
                  </pic:spPr>
                </pic:pic>
              </a:graphicData>
            </a:graphic>
          </wp:inline>
        </w:drawing>
      </w:r>
      <w:r>
        <w:rPr>
          <w:rFonts w:hint="eastAsia" w:ascii="楷体" w:hAnsi="楷体" w:eastAsia="楷体" w:cs="楷体"/>
          <w:szCs w:val="24"/>
        </w:rPr>
        <w:t xml:space="preserve"> </w:t>
      </w:r>
      <w:r>
        <w:rPr>
          <w:rFonts w:hint="eastAsia" w:ascii="楷体" w:hAnsi="楷体" w:eastAsia="楷体" w:cs="楷体"/>
          <w:szCs w:val="24"/>
        </w:rPr>
        <w:drawing>
          <wp:inline distT="0" distB="0" distL="0" distR="0">
            <wp:extent cx="6188710" cy="1826260"/>
            <wp:effectExtent l="0" t="0" r="889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6188710" cy="1826260"/>
                    </a:xfrm>
                    <a:prstGeom prst="rect">
                      <a:avLst/>
                    </a:prstGeom>
                  </pic:spPr>
                </pic:pic>
              </a:graphicData>
            </a:graphic>
          </wp:inline>
        </w:drawing>
      </w:r>
      <w:r>
        <w:rPr>
          <w:rFonts w:hint="eastAsia" w:ascii="楷体" w:hAnsi="楷体" w:eastAsia="楷体" w:cs="楷体"/>
          <w:szCs w:val="24"/>
        </w:rPr>
        <w:t xml:space="preserve"> </w:t>
      </w:r>
      <w:r>
        <w:rPr>
          <w:rFonts w:hint="eastAsia" w:ascii="楷体" w:hAnsi="楷体" w:eastAsia="楷体" w:cs="楷体"/>
          <w:szCs w:val="24"/>
        </w:rPr>
        <w:drawing>
          <wp:inline distT="0" distB="0" distL="0" distR="0">
            <wp:extent cx="1571625" cy="5191125"/>
            <wp:effectExtent l="0" t="0" r="317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1571625" cy="5191125"/>
                    </a:xfrm>
                    <a:prstGeom prst="rect">
                      <a:avLst/>
                    </a:prstGeom>
                  </pic:spPr>
                </pic:pic>
              </a:graphicData>
            </a:graphic>
          </wp:inline>
        </w:drawing>
      </w:r>
      <w:r>
        <w:rPr>
          <w:rFonts w:hint="eastAsia" w:ascii="楷体" w:hAnsi="楷体" w:eastAsia="楷体" w:cs="楷体"/>
          <w:szCs w:val="24"/>
        </w:rPr>
        <w:t xml:space="preserve"> </w:t>
      </w:r>
      <w:r>
        <w:rPr>
          <w:rFonts w:hint="eastAsia" w:ascii="楷体" w:hAnsi="楷体" w:eastAsia="楷体" w:cs="楷体"/>
          <w:szCs w:val="24"/>
        </w:rPr>
        <w:drawing>
          <wp:inline distT="0" distB="0" distL="0" distR="0">
            <wp:extent cx="4124325" cy="5800725"/>
            <wp:effectExtent l="0" t="0" r="317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4124325" cy="5800725"/>
                    </a:xfrm>
                    <a:prstGeom prst="rect">
                      <a:avLst/>
                    </a:prstGeom>
                  </pic:spPr>
                </pic:pic>
              </a:graphicData>
            </a:graphic>
          </wp:inline>
        </w:drawing>
      </w:r>
      <w:r>
        <w:rPr>
          <w:rFonts w:hint="eastAsia" w:ascii="楷体" w:hAnsi="楷体" w:eastAsia="楷体" w:cs="楷体"/>
          <w:szCs w:val="24"/>
        </w:rPr>
        <w:t xml:space="preserve"> </w:t>
      </w:r>
      <w:r>
        <w:rPr>
          <w:rFonts w:hint="eastAsia" w:ascii="楷体" w:hAnsi="楷体" w:eastAsia="楷体" w:cs="楷体"/>
          <w:szCs w:val="24"/>
        </w:rPr>
        <w:drawing>
          <wp:inline distT="0" distB="0" distL="0" distR="0">
            <wp:extent cx="6188710" cy="3448050"/>
            <wp:effectExtent l="0" t="0" r="889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6188710" cy="3448050"/>
                    </a:xfrm>
                    <a:prstGeom prst="rect">
                      <a:avLst/>
                    </a:prstGeom>
                  </pic:spPr>
                </pic:pic>
              </a:graphicData>
            </a:graphic>
          </wp:inline>
        </w:drawing>
      </w:r>
      <w:r>
        <w:rPr>
          <w:rFonts w:hint="eastAsia" w:ascii="楷体" w:hAnsi="楷体" w:eastAsia="楷体" w:cs="楷体"/>
          <w:szCs w:val="24"/>
        </w:rPr>
        <w:t xml:space="preserve"> </w:t>
      </w:r>
      <w:r>
        <w:rPr>
          <w:rFonts w:hint="eastAsia" w:ascii="楷体" w:hAnsi="楷体" w:eastAsia="楷体" w:cs="楷体"/>
          <w:szCs w:val="24"/>
        </w:rPr>
        <w:drawing>
          <wp:inline distT="0" distB="0" distL="0" distR="0">
            <wp:extent cx="6188710" cy="3359785"/>
            <wp:effectExtent l="0" t="0" r="889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6188710" cy="3359785"/>
                    </a:xfrm>
                    <a:prstGeom prst="rect">
                      <a:avLst/>
                    </a:prstGeom>
                  </pic:spPr>
                </pic:pic>
              </a:graphicData>
            </a:graphic>
          </wp:inline>
        </w:drawing>
      </w:r>
    </w:p>
    <w:p>
      <w:pPr>
        <w:spacing w:line="336" w:lineRule="auto"/>
        <w:jc w:val="center"/>
        <w:rPr>
          <w:rFonts w:ascii="楷体" w:hAnsi="楷体" w:eastAsia="楷体" w:cs="楷体"/>
          <w:szCs w:val="24"/>
        </w:rPr>
      </w:pPr>
    </w:p>
    <w:p>
      <w:pPr>
        <w:spacing w:line="336" w:lineRule="auto"/>
        <w:jc w:val="center"/>
        <w:rPr>
          <w:rFonts w:ascii="楷体" w:hAnsi="楷体" w:eastAsia="楷体" w:cs="楷体"/>
          <w:szCs w:val="24"/>
        </w:rPr>
      </w:pPr>
    </w:p>
    <w:p>
      <w:pPr>
        <w:spacing w:line="336" w:lineRule="auto"/>
        <w:rPr>
          <w:rFonts w:ascii="楷体" w:hAnsi="楷体" w:eastAsia="楷体" w:cs="楷体"/>
          <w:b/>
          <w:szCs w:val="24"/>
          <w:u w:val="dotted"/>
          <w:lang w:val="zh-CN"/>
        </w:rPr>
      </w:pPr>
      <w:r>
        <w:rPr>
          <w:rFonts w:hint="eastAsia" w:ascii="楷体" w:hAnsi="楷体" w:eastAsia="楷体" w:cs="楷体"/>
          <w:b/>
          <w:szCs w:val="24"/>
        </w:rPr>
        <w:t>法律依据：</w:t>
      </w:r>
    </w:p>
    <w:p>
      <w:pPr>
        <w:pStyle w:val="8"/>
        <w:ind w:firstLine="480"/>
        <w:rPr>
          <w:rFonts w:ascii="楷体" w:hAnsi="楷体" w:eastAsia="楷体" w:cs="楷体"/>
          <w:szCs w:val="24"/>
        </w:rPr>
      </w:pPr>
      <w:r>
        <w:rPr>
          <w:rFonts w:hint="eastAsia" w:ascii="楷体" w:hAnsi="楷体" w:eastAsia="楷体" w:cs="楷体"/>
          <w:szCs w:val="24"/>
        </w:rPr>
        <w:t>中华人民共和国政府采购法实施条例（国务院令第658号）第二十条（二）设定的资格、技术、商务条件与采购项目的具体特点和实际需要不相适应或者与合同履行无关；（三）采购需求中的技术、服务等要求指向特定供应商、特定产品；（六）限定或者指定特定的专利、商标、品牌或者供应商；（八）以其他不合理条件限制或者排斥潜在供应商。</w:t>
      </w:r>
    </w:p>
    <w:p>
      <w:pPr>
        <w:pStyle w:val="8"/>
        <w:ind w:firstLine="480"/>
        <w:rPr>
          <w:rFonts w:ascii="楷体" w:hAnsi="楷体" w:eastAsia="楷体" w:cs="楷体"/>
          <w:szCs w:val="24"/>
        </w:rPr>
      </w:pPr>
      <w:r>
        <w:rPr>
          <w:rFonts w:hint="eastAsia" w:ascii="楷体" w:hAnsi="楷体" w:eastAsia="楷体" w:cs="楷体"/>
          <w:szCs w:val="24"/>
        </w:rPr>
        <w:t>中华人民共和国招标投标法第三十二条：违反中华人民共和国招标投标法第三十二条：（二）设定的资格、技术、商务条件与采购项目的具体特点和实际需要不相适应或者与合同履行无关；（五）限定或者指定特定的专利、商标、品牌、原产地或者供应商；（七）以其他不合理条件限制、排斥潜在投标人或者投标人。</w:t>
      </w:r>
    </w:p>
    <w:p>
      <w:pPr>
        <w:spacing w:line="336" w:lineRule="auto"/>
        <w:rPr>
          <w:rFonts w:ascii="楷体" w:hAnsi="楷体" w:eastAsia="楷体" w:cs="楷体"/>
          <w:color w:val="FF0000"/>
          <w:sz w:val="28"/>
          <w:szCs w:val="28"/>
          <w:highlight w:val="yellow"/>
          <w:u w:val="dotted"/>
        </w:rPr>
      </w:pPr>
      <w:r>
        <w:rPr>
          <w:rFonts w:hint="eastAsia" w:ascii="楷体" w:hAnsi="楷体" w:eastAsia="楷体" w:cs="楷体"/>
          <w:color w:val="FF0000"/>
          <w:sz w:val="28"/>
          <w:szCs w:val="28"/>
          <w:highlight w:val="yellow"/>
          <w:u w:val="dotted"/>
        </w:rPr>
        <w:t>回复：招标文件要求的检测报告或者其他证明材料在中标后提供，不作为评分要求。</w:t>
      </w:r>
    </w:p>
    <w:p>
      <w:pPr>
        <w:spacing w:line="336" w:lineRule="auto"/>
        <w:rPr>
          <w:rFonts w:ascii="楷体" w:hAnsi="楷体" w:eastAsia="楷体" w:cs="楷体"/>
          <w:color w:val="FF0000"/>
          <w:sz w:val="28"/>
          <w:szCs w:val="28"/>
          <w:highlight w:val="yellow"/>
          <w:u w:val="dotted"/>
        </w:rPr>
      </w:pPr>
      <w:r>
        <w:rPr>
          <w:rFonts w:hint="eastAsia" w:ascii="楷体" w:hAnsi="楷体" w:eastAsia="楷体" w:cs="楷体"/>
          <w:color w:val="FF0000"/>
          <w:sz w:val="28"/>
          <w:szCs w:val="28"/>
          <w:highlight w:val="yellow"/>
          <w:u w:val="dotted"/>
        </w:rPr>
        <w:t>原“▲和★要求”项作调整，详见调整后的设备清单。</w:t>
      </w:r>
    </w:p>
    <w:p/>
    <w:p>
      <w:pPr>
        <w:spacing w:line="336" w:lineRule="auto"/>
        <w:rPr>
          <w:rFonts w:ascii="楷体" w:hAnsi="楷体" w:eastAsia="楷体" w:cs="楷体"/>
          <w:b/>
          <w:szCs w:val="24"/>
        </w:rPr>
      </w:pPr>
      <w:r>
        <w:rPr>
          <w:rFonts w:hint="eastAsia" w:ascii="楷体" w:hAnsi="楷体" w:eastAsia="楷体" w:cs="楷体"/>
          <w:b/>
          <w:szCs w:val="24"/>
        </w:rPr>
        <w:t>质疑事项5：</w:t>
      </w:r>
    </w:p>
    <w:p>
      <w:pPr>
        <w:spacing w:line="336" w:lineRule="auto"/>
        <w:rPr>
          <w:rFonts w:ascii="楷体" w:hAnsi="楷体" w:eastAsia="楷体" w:cs="楷体"/>
          <w:szCs w:val="24"/>
        </w:rPr>
      </w:pPr>
      <w:r>
        <w:rPr>
          <w:rFonts w:hint="eastAsia" w:ascii="楷体" w:hAnsi="楷体" w:eastAsia="楷体" w:cs="楷体"/>
          <w:szCs w:val="24"/>
        </w:rPr>
        <w:t>请问采购人和代理机构，样品中要求的工作台连壹下层板(带背)和大单星盆台(带背)参数≥1.5mm是实际厚度还是国家标准厚度？“未能提供样品的或经评标委员会认定样品材质、规格型号、数量、做法等与招标文件要求不一致或有缺项的，将被视为无效响应”这句话是怎么理解？难道投标人不能用自己的工艺制作，超出（正偏离）采购人的技术指标也会无效投标吗？为什么评分中有样品，还把样品作为资格要求？</w:t>
      </w:r>
    </w:p>
    <w:p>
      <w:pPr>
        <w:spacing w:line="336" w:lineRule="auto"/>
        <w:rPr>
          <w:rFonts w:ascii="楷体" w:hAnsi="楷体" w:eastAsia="楷体" w:cs="楷体"/>
          <w:szCs w:val="24"/>
        </w:rPr>
      </w:pPr>
    </w:p>
    <w:p>
      <w:pPr>
        <w:spacing w:line="336" w:lineRule="auto"/>
        <w:rPr>
          <w:rFonts w:ascii="楷体" w:hAnsi="楷体" w:eastAsia="楷体" w:cs="楷体"/>
          <w:b/>
          <w:szCs w:val="24"/>
        </w:rPr>
      </w:pPr>
      <w:r>
        <w:rPr>
          <w:rFonts w:hint="eastAsia" w:ascii="楷体" w:hAnsi="楷体" w:eastAsia="楷体" w:cs="楷体"/>
          <w:b/>
          <w:szCs w:val="24"/>
        </w:rPr>
        <w:t>事实依据：</w:t>
      </w:r>
    </w:p>
    <w:p>
      <w:pPr>
        <w:spacing w:line="336" w:lineRule="auto"/>
        <w:rPr>
          <w:rFonts w:ascii="楷体" w:hAnsi="楷体" w:eastAsia="楷体" w:cs="楷体"/>
          <w:szCs w:val="24"/>
        </w:rPr>
      </w:pPr>
      <w:r>
        <w:rPr>
          <w:rFonts w:hint="eastAsia" w:ascii="楷体" w:hAnsi="楷体" w:eastAsia="楷体" w:cs="楷体"/>
          <w:szCs w:val="24"/>
        </w:rPr>
        <w:drawing>
          <wp:inline distT="0" distB="0" distL="0" distR="0">
            <wp:extent cx="6188710" cy="6955790"/>
            <wp:effectExtent l="0" t="0" r="889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6188710" cy="6955790"/>
                    </a:xfrm>
                    <a:prstGeom prst="rect">
                      <a:avLst/>
                    </a:prstGeom>
                  </pic:spPr>
                </pic:pic>
              </a:graphicData>
            </a:graphic>
          </wp:inline>
        </w:drawing>
      </w:r>
    </w:p>
    <w:p>
      <w:pPr>
        <w:spacing w:line="336" w:lineRule="auto"/>
        <w:rPr>
          <w:rFonts w:ascii="楷体" w:hAnsi="楷体" w:eastAsia="楷体" w:cs="楷体"/>
          <w:b/>
          <w:szCs w:val="24"/>
        </w:rPr>
      </w:pPr>
      <w:r>
        <w:rPr>
          <w:rFonts w:hint="eastAsia" w:ascii="楷体" w:hAnsi="楷体" w:eastAsia="楷体" w:cs="楷体"/>
          <w:b/>
          <w:szCs w:val="24"/>
        </w:rPr>
        <w:t>法律依据：同质疑事项1</w:t>
      </w:r>
    </w:p>
    <w:p>
      <w:pPr>
        <w:spacing w:line="336" w:lineRule="auto"/>
        <w:rPr>
          <w:rFonts w:ascii="楷体" w:hAnsi="楷体" w:eastAsia="楷体" w:cs="楷体"/>
          <w:color w:val="FF0000"/>
          <w:sz w:val="28"/>
          <w:szCs w:val="28"/>
          <w:highlight w:val="yellow"/>
          <w:u w:val="dotted"/>
        </w:rPr>
      </w:pPr>
    </w:p>
    <w:p>
      <w:pPr>
        <w:spacing w:line="336" w:lineRule="auto"/>
        <w:rPr>
          <w:rFonts w:ascii="楷体" w:hAnsi="楷体" w:eastAsia="楷体" w:cs="楷体"/>
          <w:color w:val="FF0000"/>
          <w:sz w:val="28"/>
          <w:szCs w:val="28"/>
          <w:highlight w:val="yellow"/>
          <w:u w:val="dotted"/>
        </w:rPr>
      </w:pPr>
      <w:r>
        <w:rPr>
          <w:rFonts w:hint="eastAsia" w:ascii="楷体" w:hAnsi="楷体" w:eastAsia="楷体" w:cs="楷体"/>
          <w:color w:val="FF0000"/>
          <w:sz w:val="28"/>
          <w:szCs w:val="28"/>
          <w:highlight w:val="yellow"/>
          <w:u w:val="dotted"/>
        </w:rPr>
        <w:t>回复：招标文件中样品的参数、参考图片都是基本要求，仅做评分要求，允许偏离。如不提供样品作无效响应处理。</w:t>
      </w:r>
    </w:p>
    <w:p>
      <w:pPr>
        <w:spacing w:line="336" w:lineRule="auto"/>
        <w:rPr>
          <w:rFonts w:ascii="楷体" w:hAnsi="楷体" w:eastAsia="楷体" w:cs="楷体"/>
          <w:b/>
          <w:szCs w:val="24"/>
        </w:rPr>
      </w:pPr>
    </w:p>
    <w:p>
      <w:pPr>
        <w:rPr>
          <w:rFonts w:ascii="楷体" w:hAnsi="楷体" w:eastAsia="楷体" w:cs="楷体"/>
          <w:b/>
          <w:szCs w:val="24"/>
        </w:rPr>
      </w:pPr>
      <w:r>
        <w:rPr>
          <w:rFonts w:hint="eastAsia" w:ascii="楷体" w:hAnsi="楷体" w:eastAsia="楷体" w:cs="楷体"/>
          <w:b/>
          <w:szCs w:val="24"/>
        </w:rPr>
        <w:br w:type="page"/>
      </w:r>
    </w:p>
    <w:p>
      <w:pPr>
        <w:spacing w:line="336" w:lineRule="auto"/>
        <w:rPr>
          <w:rFonts w:ascii="楷体" w:hAnsi="楷体" w:eastAsia="楷体" w:cs="楷体"/>
          <w:b/>
          <w:szCs w:val="24"/>
        </w:rPr>
      </w:pPr>
      <w:r>
        <w:rPr>
          <w:rFonts w:hint="eastAsia" w:ascii="楷体" w:hAnsi="楷体" w:eastAsia="楷体" w:cs="楷体"/>
          <w:b/>
          <w:szCs w:val="24"/>
        </w:rPr>
        <w:t>质疑事项6：</w:t>
      </w:r>
    </w:p>
    <w:p>
      <w:pPr>
        <w:spacing w:line="336" w:lineRule="auto"/>
        <w:rPr>
          <w:rFonts w:ascii="楷体" w:hAnsi="楷体" w:eastAsia="楷体" w:cs="楷体"/>
          <w:szCs w:val="24"/>
        </w:rPr>
      </w:pPr>
      <w:r>
        <w:rPr>
          <w:rFonts w:hint="eastAsia" w:ascii="楷体" w:hAnsi="楷体" w:eastAsia="楷体" w:cs="楷体"/>
          <w:szCs w:val="24"/>
        </w:rPr>
        <w:t>招标文件第40页：3、投标人应根据《厨房设备采购清单》的要求填报相应子目的综合单价，不得改变招标人给定的采购清单的编号、设备名称、规格尺寸、技术参数、数量、单位、参考图片，否则视为不响应招标文件的实质性要求，属重大偏差，其投标文件按无效标处理。</w:t>
      </w:r>
    </w:p>
    <w:p>
      <w:pPr>
        <w:spacing w:line="336" w:lineRule="auto"/>
        <w:rPr>
          <w:rFonts w:ascii="楷体" w:hAnsi="楷体" w:eastAsia="楷体" w:cs="楷体"/>
          <w:szCs w:val="24"/>
        </w:rPr>
      </w:pPr>
      <w:r>
        <w:rPr>
          <w:rFonts w:hint="eastAsia" w:ascii="楷体" w:hAnsi="楷体" w:eastAsia="楷体" w:cs="楷体"/>
          <w:szCs w:val="24"/>
        </w:rPr>
        <w:t>此处也十分不合理，参考图片是用来参考的，难道投标人的产品还要和参考图片一模一样吗？如水龙头</w:t>
      </w:r>
      <w:r>
        <w:rPr>
          <w:rFonts w:hint="eastAsia" w:ascii="楷体" w:hAnsi="楷体" w:eastAsia="楷体" w:cs="楷体"/>
          <w:szCs w:val="24"/>
        </w:rPr>
        <w:drawing>
          <wp:inline distT="0" distB="0" distL="0" distR="0">
            <wp:extent cx="1099820" cy="1202690"/>
            <wp:effectExtent l="0" t="0" r="5080" b="0"/>
            <wp:docPr id="12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3"/>
                    <pic:cNvPicPr>
                      <a:picLocks noChangeAspect="1"/>
                    </pic:cNvPicPr>
                  </pic:nvPicPr>
                  <pic:blipFill>
                    <a:blip r:embed="rId33" cstate="print"/>
                    <a:stretch>
                      <a:fillRect/>
                    </a:stretch>
                  </pic:blipFill>
                  <pic:spPr>
                    <a:xfrm>
                      <a:off x="0" y="0"/>
                      <a:ext cx="1099820" cy="1202690"/>
                    </a:xfrm>
                    <a:prstGeom prst="rect">
                      <a:avLst/>
                    </a:prstGeom>
                    <a:noFill/>
                    <a:ln w="9525">
                      <a:noFill/>
                    </a:ln>
                  </pic:spPr>
                </pic:pic>
              </a:graphicData>
            </a:graphic>
          </wp:inline>
        </w:drawing>
      </w:r>
      <w:r>
        <w:rPr>
          <w:rFonts w:hint="eastAsia" w:ascii="楷体" w:hAnsi="楷体" w:eastAsia="楷体" w:cs="楷体"/>
          <w:szCs w:val="24"/>
        </w:rPr>
        <w:t>这种款式明显是有很多的，难道投标人不能用其他款式吗？一般国企、酒店等都是用</w:t>
      </w:r>
      <w:r>
        <w:rPr>
          <w:rFonts w:hint="eastAsia" w:ascii="楷体" w:hAnsi="楷体" w:eastAsia="楷体" w:cs="楷体"/>
          <w:szCs w:val="24"/>
        </w:rPr>
        <w:drawing>
          <wp:inline distT="0" distB="0" distL="0" distR="0">
            <wp:extent cx="1952625" cy="1704975"/>
            <wp:effectExtent l="0" t="0" r="317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1952625" cy="1704975"/>
                    </a:xfrm>
                    <a:prstGeom prst="rect">
                      <a:avLst/>
                    </a:prstGeom>
                  </pic:spPr>
                </pic:pic>
              </a:graphicData>
            </a:graphic>
          </wp:inline>
        </w:drawing>
      </w:r>
      <w:r>
        <w:rPr>
          <w:rFonts w:hint="eastAsia" w:ascii="楷体" w:hAnsi="楷体" w:eastAsia="楷体" w:cs="楷体"/>
          <w:szCs w:val="24"/>
        </w:rPr>
        <w:t>这种款式的，采购人不能用图片来限制投标人。</w:t>
      </w:r>
    </w:p>
    <w:p>
      <w:pPr>
        <w:spacing w:line="336" w:lineRule="auto"/>
        <w:rPr>
          <w:rFonts w:ascii="楷体" w:hAnsi="楷体" w:eastAsia="楷体" w:cs="楷体"/>
          <w:szCs w:val="24"/>
        </w:rPr>
      </w:pPr>
    </w:p>
    <w:p>
      <w:pPr>
        <w:spacing w:line="336" w:lineRule="auto"/>
        <w:rPr>
          <w:rFonts w:ascii="楷体" w:hAnsi="楷体" w:eastAsia="楷体" w:cs="楷体"/>
          <w:szCs w:val="24"/>
        </w:rPr>
      </w:pPr>
      <w:r>
        <w:rPr>
          <w:rFonts w:hint="eastAsia" w:ascii="楷体" w:hAnsi="楷体" w:eastAsia="楷体" w:cs="楷体"/>
          <w:szCs w:val="24"/>
        </w:rPr>
        <w:t>规格尺寸、技术参数也是同理，每个生产厂家的产品的规格尺寸、技术参数都是不一样的，就算你推荐的3个品牌也是不一样的规格尺寸、技术参数，采购人不能用这种要求来废投标人的标。况且这个项目已经被前期设计单位把很多产品给报备了。</w:t>
      </w:r>
    </w:p>
    <w:p>
      <w:pPr>
        <w:spacing w:line="336" w:lineRule="auto"/>
        <w:rPr>
          <w:rFonts w:ascii="楷体" w:hAnsi="楷体" w:eastAsia="楷体" w:cs="楷体"/>
          <w:szCs w:val="24"/>
        </w:rPr>
      </w:pPr>
    </w:p>
    <w:p>
      <w:pPr>
        <w:pStyle w:val="8"/>
        <w:ind w:firstLine="480"/>
        <w:rPr>
          <w:rFonts w:ascii="楷体" w:hAnsi="楷体" w:eastAsia="楷体" w:cs="楷体"/>
          <w:szCs w:val="24"/>
        </w:rPr>
      </w:pPr>
      <w:r>
        <w:rPr>
          <w:rFonts w:hint="eastAsia" w:ascii="楷体" w:hAnsi="楷体" w:eastAsia="楷体" w:cs="楷体"/>
          <w:szCs w:val="24"/>
        </w:rPr>
        <w:t>以上要求属于以不合理条件限制、排斥潜在投标人或者投标人，以不合理的条件对供应商实行差别待遇或者歧视待遇。违反中华人民共和国政府采购法实施条例（国务院令第658号）第二十条（二）设定的资格、技术、商务条件与采购项目的具体特点和实际需要不相适应或者与合同履行无关；（三）采购需求中的技术、服务等要求指向特定供应商、特定产品；（六）限定或者指定特定的专利、商标、品牌或者供应商；（八）以其他不合理条件限制或者排斥潜在供应商。违反中华人民共和国招标投标法第三十二条：违反中华人民共和国招标投标法第三十二条：（二）设定的资格、技术、商务条件与采购项目的具体特点和实际需要不相适应或者与合同履行无关；（五）限定或者指定特定的专利、商标、品牌、原产地或者供应商；（七）以其他不合理条件限制、排斥潜在投标人或者投标人。</w:t>
      </w:r>
    </w:p>
    <w:p>
      <w:pPr>
        <w:rPr>
          <w:rFonts w:ascii="楷体" w:hAnsi="楷体" w:eastAsia="楷体" w:cs="楷体"/>
          <w:szCs w:val="24"/>
        </w:rPr>
      </w:pPr>
    </w:p>
    <w:p>
      <w:pPr>
        <w:spacing w:line="336" w:lineRule="auto"/>
        <w:rPr>
          <w:rFonts w:ascii="楷体" w:hAnsi="楷体" w:eastAsia="楷体" w:cs="楷体"/>
          <w:b/>
          <w:szCs w:val="24"/>
        </w:rPr>
      </w:pPr>
      <w:r>
        <w:rPr>
          <w:rFonts w:hint="eastAsia" w:ascii="楷体" w:hAnsi="楷体" w:eastAsia="楷体" w:cs="楷体"/>
          <w:b/>
          <w:szCs w:val="24"/>
        </w:rPr>
        <w:t>事实依据：</w:t>
      </w:r>
    </w:p>
    <w:p>
      <w:pPr>
        <w:spacing w:line="336" w:lineRule="auto"/>
        <w:rPr>
          <w:rFonts w:ascii="楷体" w:hAnsi="楷体" w:eastAsia="楷体" w:cs="楷体"/>
          <w:szCs w:val="24"/>
          <w:u w:val="dotted"/>
        </w:rPr>
      </w:pPr>
      <w:r>
        <w:rPr>
          <w:rFonts w:hint="eastAsia" w:ascii="楷体" w:hAnsi="楷体" w:eastAsia="楷体" w:cs="楷体"/>
          <w:szCs w:val="24"/>
          <w:u w:val="dotted"/>
        </w:rPr>
        <w:t>详见招标文件及清单</w:t>
      </w:r>
    </w:p>
    <w:p>
      <w:pPr>
        <w:spacing w:line="336" w:lineRule="auto"/>
        <w:rPr>
          <w:rFonts w:ascii="楷体" w:hAnsi="楷体" w:eastAsia="楷体" w:cs="楷体"/>
          <w:szCs w:val="24"/>
          <w:u w:val="dotted"/>
        </w:rPr>
      </w:pPr>
    </w:p>
    <w:p>
      <w:pPr>
        <w:spacing w:line="336" w:lineRule="auto"/>
        <w:rPr>
          <w:rFonts w:ascii="楷体" w:hAnsi="楷体" w:eastAsia="楷体" w:cs="楷体"/>
          <w:b/>
          <w:szCs w:val="24"/>
        </w:rPr>
      </w:pPr>
      <w:r>
        <w:rPr>
          <w:rFonts w:hint="eastAsia" w:ascii="楷体" w:hAnsi="楷体" w:eastAsia="楷体" w:cs="楷体"/>
          <w:b/>
          <w:szCs w:val="24"/>
        </w:rPr>
        <w:t>法律依据：同质疑事项1</w:t>
      </w:r>
    </w:p>
    <w:p>
      <w:pPr>
        <w:spacing w:line="336" w:lineRule="auto"/>
        <w:rPr>
          <w:rFonts w:ascii="楷体" w:hAnsi="楷体" w:eastAsia="楷体" w:cs="楷体"/>
          <w:color w:val="FF0000"/>
          <w:sz w:val="28"/>
          <w:szCs w:val="28"/>
          <w:highlight w:val="yellow"/>
          <w:u w:val="dotted"/>
        </w:rPr>
      </w:pPr>
    </w:p>
    <w:p>
      <w:pPr>
        <w:spacing w:line="336" w:lineRule="auto"/>
        <w:rPr>
          <w:rFonts w:ascii="楷体" w:hAnsi="楷体" w:eastAsia="楷体" w:cs="楷体"/>
          <w:color w:val="FF0000"/>
          <w:sz w:val="28"/>
          <w:szCs w:val="28"/>
          <w:highlight w:val="yellow"/>
          <w:u w:val="dotted"/>
        </w:rPr>
      </w:pPr>
      <w:r>
        <w:rPr>
          <w:rFonts w:hint="eastAsia" w:ascii="楷体" w:hAnsi="楷体" w:eastAsia="楷体" w:cs="楷体"/>
          <w:color w:val="FF0000"/>
          <w:sz w:val="28"/>
          <w:szCs w:val="28"/>
          <w:highlight w:val="yellow"/>
          <w:u w:val="dotted"/>
        </w:rPr>
        <w:t>回复：招标文件中样品的参数、参考图片都是基本要求，仅做评分要求，允许偏离。如不提供样品作无效响应处理。</w:t>
      </w:r>
    </w:p>
    <w:p>
      <w:pPr>
        <w:pStyle w:val="2"/>
        <w:rPr>
          <w:lang w:eastAsia="zh-CN"/>
        </w:rPr>
      </w:pPr>
    </w:p>
    <w:p>
      <w:pPr>
        <w:spacing w:line="336" w:lineRule="auto"/>
        <w:rPr>
          <w:rFonts w:ascii="楷体" w:hAnsi="楷体" w:eastAsia="楷体" w:cs="楷体"/>
          <w:b/>
          <w:szCs w:val="24"/>
        </w:rPr>
      </w:pPr>
      <w:r>
        <w:rPr>
          <w:rFonts w:hint="eastAsia" w:ascii="楷体" w:hAnsi="楷体" w:eastAsia="楷体" w:cs="楷体"/>
          <w:b/>
          <w:szCs w:val="24"/>
        </w:rPr>
        <w:t>质疑事项7</w:t>
      </w:r>
    </w:p>
    <w:p>
      <w:pPr>
        <w:spacing w:line="336" w:lineRule="auto"/>
        <w:rPr>
          <w:rFonts w:ascii="楷体" w:hAnsi="楷体" w:eastAsia="楷体" w:cs="楷体"/>
          <w:szCs w:val="24"/>
        </w:rPr>
      </w:pPr>
      <w:r>
        <w:rPr>
          <w:rFonts w:hint="eastAsia" w:ascii="楷体" w:hAnsi="楷体" w:eastAsia="楷体" w:cs="楷体"/>
          <w:szCs w:val="24"/>
        </w:rPr>
        <w:t>招标文件第22页符合性证明材料：</w:t>
      </w:r>
    </w:p>
    <w:p>
      <w:pPr>
        <w:rPr>
          <w:rFonts w:ascii="楷体" w:hAnsi="楷体" w:eastAsia="楷体" w:cs="楷体"/>
          <w:szCs w:val="24"/>
        </w:rPr>
      </w:pPr>
      <w:r>
        <w:rPr>
          <w:rFonts w:hint="eastAsia" w:ascii="楷体" w:hAnsi="楷体" w:eastAsia="楷体" w:cs="楷体"/>
          <w:szCs w:val="24"/>
        </w:rPr>
        <w:t>“符合性证明材料：货物主要技术指标和性能的详细说明（产品技术说明书、技术白皮书、产品彩页等文字资料、图纸和数据均可），备件和专用工具清单、检测报告等（如适用）。”</w:t>
      </w:r>
    </w:p>
    <w:p>
      <w:pPr>
        <w:rPr>
          <w:rFonts w:ascii="楷体" w:hAnsi="楷体" w:eastAsia="楷体" w:cs="楷体"/>
          <w:szCs w:val="24"/>
        </w:rPr>
      </w:pPr>
    </w:p>
    <w:p>
      <w:pPr>
        <w:rPr>
          <w:rFonts w:ascii="楷体" w:hAnsi="楷体" w:eastAsia="楷体" w:cs="楷体"/>
          <w:szCs w:val="24"/>
        </w:rPr>
      </w:pPr>
      <w:r>
        <w:rPr>
          <w:rFonts w:hint="eastAsia" w:ascii="楷体" w:hAnsi="楷体" w:eastAsia="楷体" w:cs="楷体"/>
          <w:szCs w:val="24"/>
        </w:rPr>
        <w:t>请问采购人和代理公司，现在很多设备已经被预中标单位报备，我公司无法拿到★和▲要求的资料，希望采购人删除此项符合性证明材料。</w:t>
      </w:r>
    </w:p>
    <w:p>
      <w:pPr>
        <w:spacing w:line="336" w:lineRule="auto"/>
        <w:rPr>
          <w:rFonts w:ascii="楷体" w:hAnsi="楷体" w:eastAsia="楷体" w:cs="楷体"/>
          <w:szCs w:val="24"/>
        </w:rPr>
      </w:pPr>
    </w:p>
    <w:p>
      <w:pPr>
        <w:spacing w:line="336" w:lineRule="auto"/>
        <w:rPr>
          <w:rFonts w:hint="eastAsia" w:ascii="楷体" w:hAnsi="楷体" w:eastAsia="楷体" w:cs="楷体"/>
          <w:color w:val="FF0000"/>
          <w:sz w:val="28"/>
          <w:szCs w:val="28"/>
          <w:highlight w:val="yellow"/>
          <w:u w:val="dotted"/>
        </w:rPr>
        <w:sectPr>
          <w:pgSz w:w="11906" w:h="16838"/>
          <w:pgMar w:top="1440" w:right="1800" w:bottom="1440" w:left="1800" w:header="851" w:footer="992" w:gutter="0"/>
          <w:cols w:space="425" w:num="1"/>
          <w:docGrid w:type="lines" w:linePitch="312" w:charSpace="0"/>
        </w:sectPr>
      </w:pPr>
      <w:r>
        <w:rPr>
          <w:rFonts w:hint="eastAsia" w:ascii="楷体" w:hAnsi="楷体" w:eastAsia="楷体" w:cs="楷体"/>
          <w:color w:val="FF0000"/>
          <w:sz w:val="28"/>
          <w:szCs w:val="28"/>
          <w:highlight w:val="yellow"/>
          <w:u w:val="dotted"/>
        </w:rPr>
        <w:t>回复：原“▲和★要求”项作调整，详见调整后的设备清单。</w:t>
      </w:r>
    </w:p>
    <w:p>
      <w:pPr>
        <w:pStyle w:val="3"/>
        <w:rPr>
          <w:rFonts w:ascii="仿宋" w:hAnsi="仿宋" w:eastAsia="仿宋"/>
        </w:rPr>
      </w:pPr>
      <w:r>
        <w:rPr>
          <w:rFonts w:hint="eastAsia" w:ascii="仿宋" w:hAnsi="仿宋" w:eastAsia="仿宋"/>
        </w:rPr>
        <w:t>3</w:t>
      </w:r>
      <w:r>
        <w:rPr>
          <w:rFonts w:ascii="仿宋" w:hAnsi="仿宋" w:eastAsia="仿宋"/>
        </w:rPr>
        <w:t>.1</w:t>
      </w:r>
      <w:r>
        <w:rPr>
          <w:rFonts w:hint="eastAsia" w:ascii="仿宋" w:hAnsi="仿宋" w:eastAsia="仿宋" w:cs="宋体"/>
        </w:rPr>
        <w:t>质疑事项1</w:t>
      </w:r>
    </w:p>
    <w:p>
      <w:pPr>
        <w:rPr>
          <w:rFonts w:ascii="仿宋" w:hAnsi="仿宋" w:eastAsia="仿宋"/>
        </w:rPr>
      </w:pPr>
      <w:r>
        <w:rPr>
          <w:rFonts w:hint="eastAsia" w:ascii="仿宋" w:hAnsi="仿宋" w:eastAsia="仿宋"/>
        </w:rPr>
        <w:t>招标清单中部分设备的参数要求不合理。</w:t>
      </w:r>
    </w:p>
    <w:p>
      <w:pPr>
        <w:rPr>
          <w:rFonts w:ascii="仿宋" w:hAnsi="仿宋" w:eastAsia="仿宋"/>
          <w:b/>
        </w:rPr>
      </w:pPr>
      <w:r>
        <w:rPr>
          <w:rFonts w:hint="eastAsia" w:ascii="仿宋" w:hAnsi="仿宋" w:eastAsia="仿宋"/>
          <w:b/>
        </w:rPr>
        <w:t>（1）人脸识别智能结算台（嵌入式，支持卡、码、脸，人脸部分必须内置集成一体化）</w:t>
      </w:r>
    </w:p>
    <w:p>
      <w:pPr>
        <w:pStyle w:val="8"/>
        <w:ind w:firstLine="480"/>
        <w:rPr>
          <w:rFonts w:ascii="仿宋" w:hAnsi="仿宋" w:eastAsia="仿宋"/>
        </w:rPr>
      </w:pPr>
      <w:r>
        <w:rPr>
          <w:rFonts w:hint="eastAsia" w:ascii="仿宋" w:hAnsi="仿宋" w:eastAsia="仿宋"/>
        </w:rPr>
        <w:t>★一、核心功能：</w:t>
      </w:r>
    </w:p>
    <w:p>
      <w:pPr>
        <w:pStyle w:val="8"/>
        <w:ind w:firstLine="480"/>
        <w:rPr>
          <w:rFonts w:ascii="仿宋" w:hAnsi="仿宋" w:eastAsia="仿宋"/>
        </w:rPr>
      </w:pPr>
      <w:r>
        <w:rPr>
          <w:rFonts w:hint="eastAsia" w:ascii="仿宋" w:hAnsi="仿宋" w:eastAsia="仿宋"/>
        </w:rPr>
        <w:t>1、刷卡识别：卡识别距离大于50MM、识别时间小于0.3秒，识别区域不小于50*50MM</w:t>
      </w:r>
    </w:p>
    <w:p>
      <w:pPr>
        <w:pStyle w:val="8"/>
        <w:ind w:firstLine="480"/>
        <w:rPr>
          <w:rFonts w:ascii="仿宋" w:hAnsi="仿宋" w:eastAsia="仿宋"/>
        </w:rPr>
      </w:pPr>
      <w:r>
        <w:rPr>
          <w:rFonts w:hint="eastAsia" w:ascii="仿宋" w:hAnsi="仿宋" w:eastAsia="仿宋"/>
        </w:rPr>
        <w:t>2、人脸识别：人脸模板容量不小于2万人，人脸识别成功率大于99.8%，人脸识别时间小于0.5秒。</w:t>
      </w:r>
    </w:p>
    <w:p>
      <w:pPr>
        <w:pStyle w:val="8"/>
        <w:ind w:firstLine="480"/>
        <w:rPr>
          <w:rFonts w:ascii="仿宋" w:hAnsi="仿宋" w:eastAsia="仿宋"/>
        </w:rPr>
      </w:pPr>
      <w:r>
        <w:rPr>
          <w:rFonts w:hint="eastAsia" w:ascii="仿宋" w:hAnsi="仿宋" w:eastAsia="仿宋"/>
        </w:rPr>
        <w:t>3、扫码识别：扫码识别时间小于0.5秒，扫码识别距离大于80MM,扫码识别有效区域不小于40*50MM</w:t>
      </w:r>
    </w:p>
    <w:p>
      <w:pPr>
        <w:pStyle w:val="8"/>
        <w:ind w:firstLine="480"/>
        <w:rPr>
          <w:rFonts w:ascii="仿宋" w:hAnsi="仿宋" w:eastAsia="仿宋"/>
        </w:rPr>
      </w:pPr>
      <w:r>
        <w:rPr>
          <w:rFonts w:hint="eastAsia" w:ascii="仿宋" w:hAnsi="仿宋" w:eastAsia="仿宋"/>
        </w:rPr>
        <w:t>★4、餐具识别：同时识别数量不少于9个，餐具识别距离大于80MM，5个餐具同时识别时间小于0.5秒。★二、重要参数：</w:t>
      </w:r>
    </w:p>
    <w:p>
      <w:pPr>
        <w:pStyle w:val="8"/>
        <w:ind w:firstLine="480"/>
        <w:rPr>
          <w:rFonts w:ascii="仿宋" w:hAnsi="仿宋" w:eastAsia="仿宋"/>
        </w:rPr>
      </w:pPr>
      <w:r>
        <w:rPr>
          <w:rFonts w:hint="eastAsia" w:ascii="仿宋" w:hAnsi="仿宋" w:eastAsia="仿宋"/>
        </w:rPr>
        <w:t>1、双显示屏，显示屏尺寸不小于15寸，显示屏为IPS屏（全视角屏）。</w:t>
      </w:r>
    </w:p>
    <w:p>
      <w:pPr>
        <w:pStyle w:val="8"/>
        <w:ind w:firstLine="480"/>
        <w:rPr>
          <w:rFonts w:ascii="仿宋" w:hAnsi="仿宋" w:eastAsia="仿宋"/>
        </w:rPr>
      </w:pPr>
      <w:r>
        <w:rPr>
          <w:rFonts w:hint="eastAsia" w:ascii="仿宋" w:hAnsi="仿宋" w:eastAsia="仿宋"/>
        </w:rPr>
        <w:t>2、24小时工作：24小进餐具读取准确率100%，刷卡、人脸识别正常运行。</w:t>
      </w:r>
    </w:p>
    <w:p>
      <w:pPr>
        <w:pStyle w:val="8"/>
        <w:ind w:firstLine="480"/>
        <w:rPr>
          <w:rFonts w:ascii="仿宋" w:hAnsi="仿宋" w:eastAsia="仿宋"/>
        </w:rPr>
      </w:pPr>
      <w:r>
        <w:rPr>
          <w:rFonts w:hint="eastAsia" w:ascii="仿宋" w:hAnsi="仿宋" w:eastAsia="仿宋"/>
        </w:rPr>
        <w:t>三、其它功能和参数：</w:t>
      </w:r>
    </w:p>
    <w:p>
      <w:pPr>
        <w:pStyle w:val="8"/>
        <w:ind w:firstLine="480"/>
        <w:rPr>
          <w:rFonts w:ascii="仿宋" w:hAnsi="仿宋" w:eastAsia="仿宋"/>
        </w:rPr>
      </w:pPr>
      <w:r>
        <w:rPr>
          <w:rFonts w:hint="eastAsia" w:ascii="仿宋" w:hAnsi="仿宋" w:eastAsia="仿宋"/>
        </w:rPr>
        <w:t>1、设备开户容量大于5万人。</w:t>
      </w:r>
    </w:p>
    <w:p>
      <w:pPr>
        <w:pStyle w:val="8"/>
        <w:ind w:firstLine="480"/>
        <w:rPr>
          <w:rFonts w:ascii="仿宋" w:hAnsi="仿宋" w:eastAsia="仿宋"/>
        </w:rPr>
      </w:pPr>
      <w:r>
        <w:rPr>
          <w:rFonts w:hint="eastAsia" w:ascii="仿宋" w:hAnsi="仿宋" w:eastAsia="仿宋"/>
        </w:rPr>
        <w:t>2、采用红外双目摄像头，支持活体识别；</w:t>
      </w:r>
    </w:p>
    <w:p>
      <w:pPr>
        <w:pStyle w:val="8"/>
        <w:ind w:firstLine="480"/>
        <w:rPr>
          <w:rFonts w:ascii="仿宋" w:hAnsi="仿宋" w:eastAsia="仿宋"/>
        </w:rPr>
      </w:pPr>
      <w:r>
        <w:rPr>
          <w:rFonts w:hint="eastAsia" w:ascii="仿宋" w:hAnsi="仿宋" w:eastAsia="仿宋"/>
        </w:rPr>
        <w:t>3、4GB内存，16G硬盘存储</w:t>
      </w:r>
    </w:p>
    <w:p>
      <w:pPr>
        <w:pStyle w:val="8"/>
        <w:ind w:firstLine="480"/>
        <w:rPr>
          <w:rFonts w:ascii="仿宋" w:hAnsi="仿宋" w:eastAsia="仿宋"/>
        </w:rPr>
      </w:pPr>
      <w:r>
        <w:rPr>
          <w:rFonts w:hint="eastAsia" w:ascii="仿宋" w:hAnsi="仿宋" w:eastAsia="仿宋"/>
        </w:rPr>
        <w:t>4、强光识别，人脸识别能够适应强光环境。</w:t>
      </w:r>
    </w:p>
    <w:p>
      <w:pPr>
        <w:pStyle w:val="8"/>
        <w:ind w:firstLine="480"/>
        <w:rPr>
          <w:rFonts w:ascii="仿宋" w:hAnsi="仿宋" w:eastAsia="仿宋"/>
        </w:rPr>
      </w:pPr>
      <w:r>
        <w:rPr>
          <w:rFonts w:hint="eastAsia" w:ascii="仿宋" w:hAnsi="仿宋" w:eastAsia="仿宋"/>
        </w:rPr>
        <w:t>5、营养指示：显示菜品总营养成份，包括热量、蛋白质等。</w:t>
      </w:r>
    </w:p>
    <w:p>
      <w:pPr>
        <w:pStyle w:val="8"/>
        <w:ind w:firstLine="480"/>
        <w:rPr>
          <w:rFonts w:ascii="仿宋" w:hAnsi="仿宋" w:eastAsia="仿宋"/>
        </w:rPr>
      </w:pPr>
      <w:r>
        <w:rPr>
          <w:rFonts w:hint="eastAsia" w:ascii="仿宋" w:hAnsi="仿宋" w:eastAsia="仿宋"/>
        </w:rPr>
        <w:t>6、用户支付成功后显示用户的姓名、照片、余额、部门。</w:t>
      </w:r>
    </w:p>
    <w:p>
      <w:pPr>
        <w:pStyle w:val="8"/>
        <w:ind w:firstLine="480"/>
        <w:rPr>
          <w:rFonts w:ascii="仿宋" w:hAnsi="仿宋" w:eastAsia="仿宋"/>
        </w:rPr>
      </w:pPr>
      <w:r>
        <w:rPr>
          <w:rFonts w:hint="eastAsia" w:ascii="仿宋" w:hAnsi="仿宋" w:eastAsia="仿宋"/>
        </w:rPr>
        <w:t>7、离线消费：离线状态下可以正常消费；</w:t>
      </w:r>
    </w:p>
    <w:p>
      <w:pPr>
        <w:pStyle w:val="8"/>
        <w:ind w:firstLine="480"/>
        <w:rPr>
          <w:rFonts w:ascii="仿宋" w:hAnsi="仿宋" w:eastAsia="仿宋"/>
        </w:rPr>
      </w:pPr>
      <w:r>
        <w:rPr>
          <w:rFonts w:hint="eastAsia" w:ascii="仿宋" w:hAnsi="仿宋" w:eastAsia="仿宋"/>
        </w:rPr>
        <w:t>8、记录查询：本机当餐和当天的消费记录。</w:t>
      </w:r>
    </w:p>
    <w:p>
      <w:pPr>
        <w:pStyle w:val="8"/>
        <w:ind w:firstLine="480"/>
        <w:rPr>
          <w:rFonts w:ascii="仿宋" w:hAnsi="仿宋" w:eastAsia="仿宋"/>
        </w:rPr>
      </w:pPr>
      <w:r>
        <w:rPr>
          <w:rFonts w:hint="eastAsia" w:ascii="仿宋" w:hAnsi="仿宋" w:eastAsia="仿宋"/>
        </w:rPr>
        <w:t>9、手动模式：手动模式下支持菜价、菜品、数字键盘三种模式扣款</w:t>
      </w:r>
    </w:p>
    <w:p>
      <w:pPr>
        <w:pStyle w:val="8"/>
        <w:ind w:firstLine="480"/>
        <w:rPr>
          <w:rFonts w:ascii="仿宋" w:hAnsi="仿宋" w:eastAsia="仿宋"/>
        </w:rPr>
      </w:pPr>
      <w:r>
        <w:rPr>
          <w:rFonts w:hint="eastAsia" w:ascii="仿宋" w:hAnsi="仿宋" w:eastAsia="仿宋"/>
        </w:rPr>
        <w:t>10、扫码支付：扫码支付时支持微信、支付宝付款</w:t>
      </w:r>
    </w:p>
    <w:p>
      <w:pPr>
        <w:pStyle w:val="8"/>
        <w:ind w:firstLine="480"/>
        <w:rPr>
          <w:rFonts w:ascii="仿宋" w:hAnsi="仿宋" w:eastAsia="仿宋"/>
        </w:rPr>
      </w:pPr>
      <w:r>
        <w:rPr>
          <w:rFonts w:hint="eastAsia" w:ascii="仿宋" w:hAnsi="仿宋" w:eastAsia="仿宋"/>
        </w:rPr>
        <w:t>11、可设置人脸识别分和人脸大小来控制识别精度和距离</w:t>
      </w:r>
    </w:p>
    <w:p>
      <w:pPr>
        <w:pStyle w:val="8"/>
        <w:ind w:firstLine="480"/>
        <w:rPr>
          <w:rFonts w:ascii="仿宋" w:hAnsi="仿宋" w:eastAsia="仿宋"/>
        </w:rPr>
      </w:pPr>
      <w:r>
        <w:rPr>
          <w:rFonts w:hint="eastAsia" w:ascii="仿宋" w:hAnsi="仿宋" w:eastAsia="仿宋"/>
        </w:rPr>
        <w:t>12、支持菜单和键盘累积扣款</w:t>
      </w:r>
    </w:p>
    <w:p>
      <w:pPr>
        <w:pStyle w:val="8"/>
        <w:ind w:firstLine="480"/>
        <w:rPr>
          <w:rFonts w:ascii="仿宋" w:hAnsi="仿宋" w:eastAsia="仿宋"/>
        </w:rPr>
      </w:pPr>
      <w:r>
        <w:rPr>
          <w:rFonts w:hint="eastAsia" w:ascii="仿宋" w:hAnsi="仿宋" w:eastAsia="仿宋"/>
        </w:rPr>
        <w:t>13、语音提示，有成功、失败等语音提示。</w:t>
      </w:r>
    </w:p>
    <w:p>
      <w:pPr>
        <w:pStyle w:val="8"/>
        <w:ind w:firstLine="480"/>
        <w:rPr>
          <w:rFonts w:ascii="仿宋" w:hAnsi="仿宋" w:eastAsia="仿宋"/>
          <w:highlight w:val="none"/>
          <w:shd w:val="clear" w:color="auto" w:fill="auto"/>
        </w:rPr>
      </w:pPr>
      <w:r>
        <w:rPr>
          <w:rFonts w:hint="eastAsia" w:ascii="仿宋" w:hAnsi="仿宋" w:eastAsia="仿宋"/>
          <w:highlight w:val="none"/>
          <w:shd w:val="clear" w:color="auto" w:fill="auto"/>
        </w:rPr>
        <w:t>★四、其他及证明材料：</w:t>
      </w:r>
    </w:p>
    <w:p>
      <w:pPr>
        <w:pStyle w:val="8"/>
        <w:ind w:firstLine="480"/>
        <w:rPr>
          <w:rFonts w:ascii="仿宋" w:hAnsi="仿宋" w:eastAsia="仿宋"/>
          <w:highlight w:val="none"/>
          <w:shd w:val="clear" w:color="auto" w:fill="auto"/>
        </w:rPr>
      </w:pPr>
      <w:r>
        <w:rPr>
          <w:rFonts w:hint="eastAsia" w:ascii="仿宋" w:hAnsi="仿宋" w:eastAsia="仿宋"/>
          <w:highlight w:val="none"/>
          <w:shd w:val="clear" w:color="auto" w:fill="auto"/>
        </w:rPr>
        <w:t>1、同时满足集成三种支付方式：刷卡、手机扫码、人脸识别。刷卡、人脸识别支付模块内置，不得使用外接、外挂人脸模块；（此条请提供产品实物图片\图标明人脸识别摄像头、扫码区）。</w:t>
      </w:r>
    </w:p>
    <w:p>
      <w:pPr>
        <w:pStyle w:val="8"/>
        <w:ind w:firstLine="480"/>
        <w:rPr>
          <w:rFonts w:ascii="仿宋" w:hAnsi="仿宋" w:eastAsia="仿宋"/>
          <w:highlight w:val="none"/>
          <w:shd w:val="clear" w:color="auto" w:fill="auto"/>
        </w:rPr>
      </w:pPr>
      <w:r>
        <w:rPr>
          <w:rFonts w:hint="eastAsia" w:ascii="仿宋" w:hAnsi="仿宋" w:eastAsia="仿宋"/>
          <w:highlight w:val="none"/>
          <w:shd w:val="clear" w:color="auto" w:fill="auto"/>
        </w:rPr>
        <w:t>2、核心功能和重要参数须提供具有CMA或CNAS认证的检测机构出具的产品检测报告来证明，检测报告上有对应项目，检测报告无该项目则该条技术参数条款负偏离。</w:t>
      </w:r>
      <w:bookmarkStart w:id="0" w:name="_GoBack"/>
      <w:bookmarkEnd w:id="0"/>
    </w:p>
    <w:p>
      <w:pPr>
        <w:pStyle w:val="8"/>
        <w:ind w:firstLine="480"/>
        <w:rPr>
          <w:rFonts w:ascii="仿宋" w:hAnsi="仿宋" w:eastAsia="仿宋"/>
        </w:rPr>
      </w:pPr>
      <w:r>
        <w:rPr>
          <w:rFonts w:hint="eastAsia" w:ascii="仿宋" w:hAnsi="仿宋" w:eastAsia="仿宋"/>
        </w:rPr>
        <w:t>3、提供3C认证证书</w:t>
      </w:r>
    </w:p>
    <w:p>
      <w:pPr>
        <w:rPr>
          <w:rFonts w:ascii="仿宋" w:hAnsi="仿宋" w:eastAsia="仿宋"/>
          <w:b/>
        </w:rPr>
      </w:pPr>
    </w:p>
    <w:p>
      <w:pPr>
        <w:ind w:firstLine="361" w:firstLineChars="150"/>
        <w:rPr>
          <w:rFonts w:ascii="仿宋" w:hAnsi="仿宋" w:eastAsia="仿宋"/>
          <w:b/>
        </w:rPr>
      </w:pPr>
      <w:r>
        <w:rPr>
          <w:rFonts w:hint="eastAsia" w:ascii="仿宋" w:hAnsi="仿宋" w:eastAsia="仿宋"/>
          <w:b/>
        </w:rPr>
        <w:t>请问代理机构，招标文件中并无技术参数的评分标准，因为本项目已经被某预中标单位报备，</w:t>
      </w:r>
      <w:r>
        <w:rPr>
          <w:rFonts w:ascii="仿宋" w:hAnsi="仿宋" w:eastAsia="仿宋"/>
          <w:b/>
        </w:rPr>
        <w:t>其他</w:t>
      </w:r>
      <w:r>
        <w:rPr>
          <w:rFonts w:hint="eastAsia" w:ascii="仿宋" w:hAnsi="仿宋" w:eastAsia="仿宋"/>
          <w:b/>
        </w:rPr>
        <w:t>投标人无法拿到对应的检测报告，</w:t>
      </w:r>
      <w:r>
        <w:rPr>
          <w:rFonts w:ascii="仿宋" w:hAnsi="仿宋" w:eastAsia="仿宋"/>
          <w:b/>
        </w:rPr>
        <w:t>那</w:t>
      </w:r>
      <w:r>
        <w:rPr>
          <w:rFonts w:hint="eastAsia" w:ascii="仿宋" w:hAnsi="仿宋" w:eastAsia="仿宋"/>
          <w:b/>
        </w:rPr>
        <w:t>现在投标人无法提供以上检测报告，会影响得分，</w:t>
      </w:r>
      <w:r>
        <w:rPr>
          <w:rFonts w:ascii="仿宋" w:hAnsi="仿宋" w:eastAsia="仿宋"/>
          <w:b/>
        </w:rPr>
        <w:t>或者</w:t>
      </w:r>
      <w:r>
        <w:rPr>
          <w:rFonts w:hint="eastAsia" w:ascii="仿宋" w:hAnsi="仿宋" w:eastAsia="仿宋"/>
          <w:b/>
        </w:rPr>
        <w:t>是影响中标吗？</w:t>
      </w:r>
    </w:p>
    <w:p>
      <w:pPr>
        <w:rPr>
          <w:rFonts w:ascii="仿宋" w:hAnsi="仿宋" w:eastAsia="仿宋"/>
          <w:b/>
        </w:rPr>
      </w:pPr>
    </w:p>
    <w:p>
      <w:pPr>
        <w:pStyle w:val="8"/>
        <w:ind w:firstLine="482"/>
        <w:rPr>
          <w:rFonts w:ascii="仿宋" w:hAnsi="仿宋" w:eastAsia="仿宋"/>
          <w:b/>
        </w:rPr>
      </w:pPr>
      <w:r>
        <w:rPr>
          <w:rFonts w:hint="eastAsia" w:ascii="仿宋" w:hAnsi="仿宋" w:eastAsia="仿宋"/>
          <w:b/>
        </w:rPr>
        <w:t>我公司认为本项目是采购人为预中标单位量身定制的，</w:t>
      </w:r>
      <w:r>
        <w:rPr>
          <w:rFonts w:ascii="仿宋" w:hAnsi="仿宋" w:eastAsia="仿宋"/>
          <w:b/>
        </w:rPr>
        <w:t>这些</w:t>
      </w:r>
      <w:r>
        <w:rPr>
          <w:rFonts w:hint="eastAsia" w:ascii="仿宋" w:hAnsi="仿宋" w:eastAsia="仿宋"/>
          <w:b/>
        </w:rPr>
        <w:t>检测报告不应该放在参数中来限制其他投标人正常公平的参与本项目，</w:t>
      </w:r>
      <w:r>
        <w:rPr>
          <w:rFonts w:ascii="仿宋" w:hAnsi="仿宋" w:eastAsia="仿宋"/>
          <w:b/>
        </w:rPr>
        <w:t>是</w:t>
      </w:r>
      <w:r>
        <w:rPr>
          <w:rFonts w:hint="eastAsia" w:ascii="仿宋" w:hAnsi="仿宋" w:eastAsia="仿宋"/>
          <w:b/>
        </w:rPr>
        <w:t>十分不合理的不合法的，明显是违反《</w:t>
      </w:r>
      <w:r>
        <w:rPr>
          <w:rFonts w:ascii="仿宋" w:hAnsi="仿宋" w:eastAsia="仿宋"/>
          <w:b/>
        </w:rPr>
        <w:t>中华人民共和国招标投标法第三十二条</w:t>
      </w:r>
      <w:r>
        <w:rPr>
          <w:rFonts w:hint="eastAsia" w:ascii="仿宋" w:hAnsi="仿宋" w:eastAsia="仿宋"/>
          <w:b/>
        </w:rPr>
        <w:t>》，</w:t>
      </w:r>
      <w:r>
        <w:rPr>
          <w:rFonts w:ascii="仿宋" w:hAnsi="仿宋" w:eastAsia="仿宋"/>
          <w:b/>
        </w:rPr>
        <w:t>因此</w:t>
      </w:r>
      <w:r>
        <w:rPr>
          <w:rFonts w:hint="eastAsia" w:ascii="仿宋" w:hAnsi="仿宋" w:eastAsia="仿宋"/>
          <w:b/>
        </w:rPr>
        <w:t>这些</w:t>
      </w:r>
      <w:r>
        <w:rPr>
          <w:rFonts w:hint="eastAsia" w:ascii="仿宋" w:hAnsi="仿宋" w:eastAsia="仿宋"/>
          <w:b/>
          <w:highlight w:val="yellow"/>
        </w:rPr>
        <w:t>★</w:t>
      </w:r>
      <w:r>
        <w:rPr>
          <w:rFonts w:hint="eastAsia" w:ascii="仿宋" w:hAnsi="仿宋" w:eastAsia="仿宋"/>
          <w:b/>
        </w:rPr>
        <w:t>要求的检测报告或者证明材料</w:t>
      </w:r>
      <w:r>
        <w:rPr>
          <w:rFonts w:ascii="仿宋" w:hAnsi="仿宋" w:eastAsia="仿宋"/>
          <w:b/>
        </w:rPr>
        <w:t>必须</w:t>
      </w:r>
      <w:r>
        <w:rPr>
          <w:rFonts w:hint="eastAsia" w:ascii="仿宋" w:hAnsi="仿宋" w:eastAsia="仿宋"/>
          <w:b/>
        </w:rPr>
        <w:t>删除。</w:t>
      </w:r>
    </w:p>
    <w:p>
      <w:pPr>
        <w:pStyle w:val="8"/>
        <w:ind w:firstLine="480"/>
        <w:rPr>
          <w:rFonts w:ascii="仿宋" w:hAnsi="仿宋" w:eastAsia="仿宋"/>
        </w:rPr>
      </w:pPr>
    </w:p>
    <w:p>
      <w:pPr>
        <w:pStyle w:val="8"/>
        <w:ind w:firstLine="480"/>
        <w:rPr>
          <w:rFonts w:ascii="仿宋" w:hAnsi="仿宋" w:eastAsia="仿宋"/>
        </w:rPr>
      </w:pPr>
      <w:r>
        <w:rPr>
          <w:rFonts w:hint="eastAsia" w:ascii="仿宋" w:hAnsi="仿宋" w:eastAsia="仿宋"/>
        </w:rPr>
        <w:t>投标已经有3个代选品牌，</w:t>
      </w:r>
      <w:r>
        <w:rPr>
          <w:rFonts w:ascii="仿宋" w:hAnsi="仿宋" w:eastAsia="仿宋"/>
        </w:rPr>
        <w:t>采购</w:t>
      </w:r>
      <w:r>
        <w:rPr>
          <w:rFonts w:hint="eastAsia" w:ascii="仿宋" w:hAnsi="仿宋" w:eastAsia="仿宋"/>
        </w:rPr>
        <w:t>应该公平公正的的让各个投标人正常的参与本项目，</w:t>
      </w:r>
      <w:r>
        <w:rPr>
          <w:rFonts w:ascii="仿宋" w:hAnsi="仿宋" w:eastAsia="仿宋"/>
        </w:rPr>
        <w:t>投标人</w:t>
      </w:r>
      <w:r>
        <w:rPr>
          <w:rFonts w:hint="eastAsia" w:ascii="仿宋" w:hAnsi="仿宋" w:eastAsia="仿宋"/>
        </w:rPr>
        <w:t>根据产品参数及品牌档次报价即可，</w:t>
      </w:r>
      <w:r>
        <w:rPr>
          <w:rFonts w:ascii="仿宋" w:hAnsi="仿宋" w:eastAsia="仿宋"/>
        </w:rPr>
        <w:t>中标</w:t>
      </w:r>
      <w:r>
        <w:rPr>
          <w:rFonts w:hint="eastAsia" w:ascii="仿宋" w:hAnsi="仿宋" w:eastAsia="仿宋"/>
        </w:rPr>
        <w:t>后也会提供这3个品牌中的产品，</w:t>
      </w:r>
      <w:r>
        <w:rPr>
          <w:rFonts w:ascii="仿宋" w:hAnsi="仿宋" w:eastAsia="仿宋"/>
        </w:rPr>
        <w:t>如果</w:t>
      </w:r>
      <w:r>
        <w:rPr>
          <w:rFonts w:hint="eastAsia" w:ascii="仿宋" w:hAnsi="仿宋" w:eastAsia="仿宋"/>
        </w:rPr>
        <w:t>每个产品都设置这样的门槛，</w:t>
      </w:r>
      <w:r>
        <w:rPr>
          <w:rFonts w:ascii="仿宋" w:hAnsi="仿宋" w:eastAsia="仿宋"/>
        </w:rPr>
        <w:t>投标人</w:t>
      </w:r>
      <w:r>
        <w:rPr>
          <w:rFonts w:hint="eastAsia" w:ascii="仿宋" w:hAnsi="仿宋" w:eastAsia="仿宋"/>
        </w:rPr>
        <w:t>还怎么正常的投标？</w:t>
      </w:r>
    </w:p>
    <w:p>
      <w:pPr>
        <w:rPr>
          <w:rFonts w:ascii="仿宋" w:hAnsi="仿宋" w:eastAsia="仿宋"/>
        </w:rPr>
      </w:pPr>
    </w:p>
    <w:p>
      <w:pPr>
        <w:pStyle w:val="8"/>
        <w:ind w:firstLine="480"/>
        <w:rPr>
          <w:rFonts w:ascii="仿宋" w:hAnsi="仿宋" w:eastAsia="仿宋"/>
        </w:rPr>
      </w:pPr>
      <w:r>
        <w:rPr>
          <w:rFonts w:hint="eastAsia" w:ascii="仿宋" w:hAnsi="仿宋" w:eastAsia="仿宋"/>
        </w:rPr>
        <w:t>退一步说，</w:t>
      </w:r>
      <w:r>
        <w:rPr>
          <w:rFonts w:ascii="仿宋" w:hAnsi="仿宋" w:eastAsia="仿宋"/>
        </w:rPr>
        <w:t>每个</w:t>
      </w:r>
      <w:r>
        <w:rPr>
          <w:rFonts w:hint="eastAsia" w:ascii="仿宋" w:hAnsi="仿宋" w:eastAsia="仿宋"/>
        </w:rPr>
        <w:t>厂家的检测报告的具体内容都是不一样的，</w:t>
      </w:r>
      <w:r>
        <w:rPr>
          <w:rFonts w:ascii="仿宋" w:hAnsi="仿宋" w:eastAsia="仿宋"/>
        </w:rPr>
        <w:t>采购</w:t>
      </w:r>
      <w:r>
        <w:rPr>
          <w:rFonts w:hint="eastAsia" w:ascii="仿宋" w:hAnsi="仿宋" w:eastAsia="仿宋"/>
        </w:rPr>
        <w:t>人即使提供了3个品牌，</w:t>
      </w:r>
      <w:r>
        <w:rPr>
          <w:rFonts w:ascii="仿宋" w:hAnsi="仿宋" w:eastAsia="仿宋"/>
        </w:rPr>
        <w:t>也</w:t>
      </w:r>
      <w:r>
        <w:rPr>
          <w:rFonts w:hint="eastAsia" w:ascii="仿宋" w:hAnsi="仿宋" w:eastAsia="仿宋"/>
        </w:rPr>
        <w:t>只有1个品牌能满足招标要求的全部检测报告。现在这个项目已经被预中标单位报备，即使投标人选择了其他2个品牌，</w:t>
      </w:r>
      <w:r>
        <w:rPr>
          <w:rFonts w:ascii="仿宋" w:hAnsi="仿宋" w:eastAsia="仿宋"/>
        </w:rPr>
        <w:t>也</w:t>
      </w:r>
      <w:r>
        <w:rPr>
          <w:rFonts w:hint="eastAsia" w:ascii="仿宋" w:hAnsi="仿宋" w:eastAsia="仿宋"/>
        </w:rPr>
        <w:t>不能满足全部检测报告的要求，这明显是排斥其他投标人。</w:t>
      </w:r>
    </w:p>
    <w:p>
      <w:pPr>
        <w:pStyle w:val="3"/>
        <w:rPr>
          <w:rFonts w:ascii="仿宋" w:hAnsi="仿宋" w:eastAsia="仿宋"/>
        </w:rPr>
      </w:pPr>
      <w:r>
        <w:rPr>
          <w:rFonts w:hint="eastAsia" w:ascii="仿宋" w:hAnsi="仿宋" w:eastAsia="仿宋"/>
        </w:rPr>
        <w:t>事实依据：</w:t>
      </w:r>
    </w:p>
    <w:p>
      <w:pPr>
        <w:jc w:val="center"/>
        <w:rPr>
          <w:rFonts w:ascii="仿宋" w:hAnsi="仿宋" w:eastAsia="仿宋"/>
          <w:b/>
        </w:rPr>
      </w:pPr>
      <w:r>
        <w:rPr>
          <w:rFonts w:ascii="仿宋" w:hAnsi="仿宋" w:eastAsia="仿宋"/>
        </w:rPr>
        <w:drawing>
          <wp:inline distT="0" distB="0" distL="0" distR="0">
            <wp:extent cx="4314825" cy="6934200"/>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4314825" cy="6934200"/>
                    </a:xfrm>
                    <a:prstGeom prst="rect">
                      <a:avLst/>
                    </a:prstGeom>
                  </pic:spPr>
                </pic:pic>
              </a:graphicData>
            </a:graphic>
          </wp:inline>
        </w:drawing>
      </w:r>
    </w:p>
    <w:p>
      <w:pPr>
        <w:jc w:val="center"/>
        <w:rPr>
          <w:rFonts w:ascii="仿宋" w:hAnsi="仿宋" w:eastAsia="仿宋"/>
          <w:b/>
        </w:rPr>
      </w:pPr>
    </w:p>
    <w:p>
      <w:pPr>
        <w:pStyle w:val="3"/>
        <w:rPr>
          <w:rFonts w:ascii="仿宋" w:hAnsi="仿宋" w:eastAsia="仿宋"/>
        </w:rPr>
      </w:pPr>
      <w:r>
        <w:rPr>
          <w:rFonts w:hint="eastAsia" w:ascii="仿宋" w:hAnsi="仿宋" w:eastAsia="仿宋"/>
        </w:rPr>
        <w:t>法律依据：</w:t>
      </w:r>
    </w:p>
    <w:p>
      <w:pPr>
        <w:pStyle w:val="8"/>
        <w:ind w:firstLine="480"/>
        <w:rPr>
          <w:rFonts w:ascii="仿宋" w:hAnsi="仿宋" w:eastAsia="仿宋"/>
          <w:b/>
        </w:rPr>
      </w:pPr>
      <w:r>
        <w:rPr>
          <w:rFonts w:hint="eastAsia" w:ascii="仿宋" w:hAnsi="仿宋" w:eastAsia="仿宋"/>
        </w:rPr>
        <w:t>《</w:t>
      </w:r>
      <w:r>
        <w:rPr>
          <w:rFonts w:ascii="仿宋" w:hAnsi="仿宋" w:eastAsia="仿宋"/>
          <w:b/>
        </w:rPr>
        <w:t>中华人民共和国招标投标法第三十二条</w:t>
      </w:r>
      <w:r>
        <w:rPr>
          <w:rFonts w:hint="eastAsia" w:ascii="仿宋" w:hAnsi="仿宋" w:eastAsia="仿宋"/>
        </w:rPr>
        <w:t>》</w:t>
      </w:r>
    </w:p>
    <w:p>
      <w:pPr>
        <w:pStyle w:val="8"/>
        <w:ind w:firstLine="480"/>
        <w:rPr>
          <w:rFonts w:ascii="仿宋" w:hAnsi="仿宋" w:eastAsia="仿宋"/>
        </w:rPr>
      </w:pPr>
      <w:r>
        <w:rPr>
          <w:rFonts w:ascii="仿宋" w:hAnsi="仿宋" w:eastAsia="仿宋"/>
        </w:rPr>
        <w:t xml:space="preserve">招标人不得以不合理的条件限制、排斥潜在投标人或者投标人。招标人有下列行为之一的，属于以不合理条件限制、排斥潜在投标人或者投标人： </w:t>
      </w:r>
    </w:p>
    <w:p>
      <w:pPr>
        <w:pStyle w:val="8"/>
        <w:ind w:firstLine="480"/>
        <w:rPr>
          <w:rFonts w:ascii="仿宋" w:hAnsi="仿宋" w:eastAsia="仿宋"/>
        </w:rPr>
      </w:pPr>
      <w:r>
        <w:rPr>
          <w:rFonts w:ascii="仿宋" w:hAnsi="仿宋" w:eastAsia="仿宋"/>
        </w:rPr>
        <w:t xml:space="preserve">（一）就同一招标项目向潜在投标人或者投标人提供有差别的项目信息； </w:t>
      </w:r>
    </w:p>
    <w:p>
      <w:pPr>
        <w:pStyle w:val="8"/>
        <w:ind w:firstLine="480"/>
        <w:rPr>
          <w:rFonts w:ascii="仿宋" w:hAnsi="仿宋" w:eastAsia="仿宋"/>
        </w:rPr>
      </w:pPr>
      <w:r>
        <w:rPr>
          <w:rFonts w:ascii="仿宋" w:hAnsi="仿宋" w:eastAsia="仿宋"/>
        </w:rPr>
        <w:t xml:space="preserve">（二）设定的资格、技术、商务条件与招标项目的具体特点和实际需要不相适应或者与合同履行无关； </w:t>
      </w:r>
    </w:p>
    <w:p>
      <w:pPr>
        <w:pStyle w:val="8"/>
        <w:ind w:firstLine="480"/>
        <w:rPr>
          <w:rFonts w:ascii="仿宋" w:hAnsi="仿宋" w:eastAsia="仿宋"/>
        </w:rPr>
      </w:pPr>
      <w:r>
        <w:rPr>
          <w:rFonts w:ascii="仿宋" w:hAnsi="仿宋" w:eastAsia="仿宋"/>
        </w:rPr>
        <w:t>（三）依法必须进行招标的项目以特定行政区域或者特定行业的业绩、奖项作为加分条件或者中标条件；</w:t>
      </w:r>
    </w:p>
    <w:p>
      <w:pPr>
        <w:pStyle w:val="8"/>
        <w:ind w:firstLine="480"/>
        <w:rPr>
          <w:rFonts w:ascii="仿宋" w:hAnsi="仿宋" w:eastAsia="仿宋"/>
        </w:rPr>
      </w:pPr>
      <w:r>
        <w:rPr>
          <w:rFonts w:ascii="仿宋" w:hAnsi="仿宋" w:eastAsia="仿宋"/>
        </w:rPr>
        <w:t xml:space="preserve">（四）对潜在投标人或者投标人采取不同的资格审查或者评标标准； </w:t>
      </w:r>
    </w:p>
    <w:p>
      <w:pPr>
        <w:pStyle w:val="8"/>
        <w:ind w:firstLine="480"/>
        <w:rPr>
          <w:rFonts w:ascii="仿宋" w:hAnsi="仿宋" w:eastAsia="仿宋"/>
        </w:rPr>
      </w:pPr>
      <w:r>
        <w:rPr>
          <w:rFonts w:ascii="仿宋" w:hAnsi="仿宋" w:eastAsia="仿宋"/>
        </w:rPr>
        <w:t xml:space="preserve">（五）限定或者指定特定的专利、商标、品牌、原产地或者供应商； </w:t>
      </w:r>
    </w:p>
    <w:p>
      <w:pPr>
        <w:pStyle w:val="8"/>
        <w:ind w:firstLine="480"/>
        <w:rPr>
          <w:rFonts w:ascii="仿宋" w:hAnsi="仿宋" w:eastAsia="仿宋"/>
        </w:rPr>
      </w:pPr>
      <w:r>
        <w:rPr>
          <w:rFonts w:ascii="仿宋" w:hAnsi="仿宋" w:eastAsia="仿宋"/>
        </w:rPr>
        <w:t>（六）依法必须进行招标的项目非法限定潜在投标人或者投标人的所有制形式或者组织形式；</w:t>
      </w:r>
    </w:p>
    <w:p>
      <w:pPr>
        <w:pStyle w:val="8"/>
        <w:ind w:firstLine="480"/>
        <w:rPr>
          <w:rFonts w:ascii="仿宋" w:hAnsi="仿宋" w:eastAsia="仿宋"/>
        </w:rPr>
      </w:pPr>
      <w:r>
        <w:rPr>
          <w:rFonts w:ascii="仿宋" w:hAnsi="仿宋" w:eastAsia="仿宋"/>
        </w:rPr>
        <w:t>（七）以其他不合理条件限制、排斥潜在投标人或者投标人。</w:t>
      </w:r>
    </w:p>
    <w:p>
      <w:pPr>
        <w:spacing w:line="336" w:lineRule="auto"/>
        <w:rPr>
          <w:rFonts w:hint="eastAsia" w:ascii="楷体" w:hAnsi="楷体" w:eastAsia="楷体" w:cs="楷体"/>
          <w:color w:val="FF0000"/>
          <w:sz w:val="28"/>
          <w:szCs w:val="28"/>
          <w:highlight w:val="yellow"/>
          <w:u w:val="dotted"/>
          <w:lang w:val="en-US" w:eastAsia="zh-CN"/>
        </w:rPr>
      </w:pPr>
    </w:p>
    <w:p>
      <w:pPr>
        <w:spacing w:line="336" w:lineRule="auto"/>
        <w:rPr>
          <w:rFonts w:ascii="楷体" w:hAnsi="楷体" w:eastAsia="楷体" w:cs="楷体"/>
          <w:color w:val="FF0000"/>
          <w:sz w:val="28"/>
          <w:szCs w:val="28"/>
          <w:highlight w:val="yellow"/>
          <w:u w:val="dotted"/>
        </w:rPr>
      </w:pPr>
      <w:r>
        <w:rPr>
          <w:rFonts w:hint="eastAsia" w:ascii="楷体" w:hAnsi="楷体" w:eastAsia="楷体" w:cs="楷体"/>
          <w:color w:val="FF0000"/>
          <w:sz w:val="28"/>
          <w:szCs w:val="28"/>
          <w:highlight w:val="yellow"/>
          <w:u w:val="dotted"/>
          <w:lang w:val="en-US" w:eastAsia="zh-CN"/>
        </w:rPr>
        <w:t>回复：</w:t>
      </w:r>
      <w:r>
        <w:rPr>
          <w:rFonts w:hint="eastAsia" w:ascii="楷体" w:hAnsi="楷体" w:eastAsia="楷体" w:cs="楷体"/>
          <w:color w:val="FF0000"/>
          <w:sz w:val="28"/>
          <w:szCs w:val="28"/>
          <w:highlight w:val="yellow"/>
          <w:u w:val="dotted"/>
        </w:rPr>
        <w:t>招标文件要求的检测报告或者其他证明材料在中标后提供，不作为评分要求。</w:t>
      </w:r>
    </w:p>
    <w:p>
      <w:pPr>
        <w:spacing w:line="336" w:lineRule="auto"/>
        <w:rPr>
          <w:rFonts w:ascii="楷体" w:hAnsi="楷体" w:eastAsia="楷体" w:cs="楷体"/>
          <w:color w:val="FF0000"/>
          <w:sz w:val="28"/>
          <w:szCs w:val="28"/>
          <w:highlight w:val="yellow"/>
          <w:u w:val="dotted"/>
        </w:rPr>
      </w:pPr>
      <w:r>
        <w:rPr>
          <w:rFonts w:hint="eastAsia" w:ascii="楷体" w:hAnsi="楷体" w:eastAsia="楷体" w:cs="楷体"/>
          <w:color w:val="FF0000"/>
          <w:sz w:val="28"/>
          <w:szCs w:val="28"/>
          <w:highlight w:val="yellow"/>
          <w:u w:val="dotted"/>
        </w:rPr>
        <w:t>原“▲和★要求”项作调整，详见调整后的设备清单。</w:t>
      </w:r>
    </w:p>
    <w:p>
      <w:pPr>
        <w:jc w:val="center"/>
        <w:rPr>
          <w:rFonts w:ascii="仿宋" w:hAnsi="仿宋" w:eastAsia="仿宋"/>
          <w:b/>
        </w:rPr>
      </w:pPr>
    </w:p>
    <w:p>
      <w:pPr>
        <w:pStyle w:val="3"/>
        <w:rPr>
          <w:rFonts w:ascii="仿宋" w:hAnsi="仿宋" w:eastAsia="仿宋" w:cs="宋体"/>
        </w:rPr>
      </w:pPr>
      <w:r>
        <w:rPr>
          <w:rFonts w:hint="eastAsia" w:ascii="仿宋" w:hAnsi="仿宋" w:eastAsia="仿宋"/>
        </w:rPr>
        <w:t>3</w:t>
      </w:r>
      <w:r>
        <w:rPr>
          <w:rFonts w:ascii="仿宋" w:hAnsi="仿宋" w:eastAsia="仿宋"/>
        </w:rPr>
        <w:t>.2</w:t>
      </w:r>
      <w:r>
        <w:rPr>
          <w:rFonts w:hint="eastAsia" w:ascii="仿宋" w:hAnsi="仿宋" w:eastAsia="仿宋" w:cs="宋体"/>
        </w:rPr>
        <w:t>质疑事项</w:t>
      </w:r>
      <w:r>
        <w:rPr>
          <w:rFonts w:ascii="仿宋" w:hAnsi="仿宋" w:eastAsia="仿宋" w:cs="宋体"/>
        </w:rPr>
        <w:t>2</w:t>
      </w:r>
    </w:p>
    <w:p>
      <w:pPr>
        <w:pStyle w:val="8"/>
        <w:ind w:firstLine="482"/>
        <w:rPr>
          <w:rFonts w:ascii="仿宋" w:hAnsi="仿宋" w:eastAsia="仿宋"/>
          <w:b/>
        </w:rPr>
      </w:pPr>
      <w:r>
        <w:rPr>
          <w:rFonts w:hint="eastAsia" w:ascii="仿宋" w:hAnsi="仿宋" w:eastAsia="仿宋"/>
          <w:b/>
        </w:rPr>
        <w:t>（1）集成出品台（3.0无感出品，使用无需特地动作刷一下）</w:t>
      </w:r>
    </w:p>
    <w:p>
      <w:pPr>
        <w:pStyle w:val="8"/>
        <w:ind w:firstLine="480"/>
        <w:rPr>
          <w:rFonts w:ascii="仿宋" w:hAnsi="仿宋" w:eastAsia="仿宋"/>
        </w:rPr>
      </w:pPr>
      <w:r>
        <w:rPr>
          <w:rFonts w:hint="eastAsia" w:ascii="仿宋" w:hAnsi="仿宋" w:eastAsia="仿宋"/>
        </w:rPr>
        <w:t>集成出品出品台（安装与厨具保温台上方，含五个出品区，五个营养价签、含立柱+顶层+玻璃罩+照明灯2+保温灯）</w:t>
      </w:r>
    </w:p>
    <w:p>
      <w:pPr>
        <w:pStyle w:val="8"/>
        <w:ind w:firstLine="480"/>
        <w:rPr>
          <w:rFonts w:ascii="仿宋" w:hAnsi="仿宋" w:eastAsia="仿宋"/>
        </w:rPr>
      </w:pPr>
      <w:r>
        <w:rPr>
          <w:rFonts w:hint="eastAsia" w:ascii="仿宋" w:hAnsi="仿宋" w:eastAsia="仿宋"/>
        </w:rPr>
        <w:t>★一、核心功能：</w:t>
      </w:r>
    </w:p>
    <w:p>
      <w:pPr>
        <w:pStyle w:val="8"/>
        <w:ind w:firstLine="480"/>
        <w:rPr>
          <w:rFonts w:ascii="仿宋" w:hAnsi="仿宋" w:eastAsia="仿宋"/>
        </w:rPr>
      </w:pPr>
      <w:r>
        <w:rPr>
          <w:rFonts w:hint="eastAsia" w:ascii="仿宋" w:hAnsi="仿宋" w:eastAsia="仿宋"/>
        </w:rPr>
        <w:t>★1、餐具出品：识别时间小于0.2秒、识别距离大于60MM，单个识别区域不小于150*120MM</w:t>
      </w:r>
    </w:p>
    <w:p>
      <w:pPr>
        <w:pStyle w:val="8"/>
        <w:ind w:firstLine="480"/>
        <w:rPr>
          <w:rFonts w:ascii="仿宋" w:hAnsi="仿宋" w:eastAsia="仿宋"/>
        </w:rPr>
      </w:pPr>
      <w:r>
        <w:rPr>
          <w:rFonts w:hint="eastAsia" w:ascii="仿宋" w:hAnsi="仿宋" w:eastAsia="仿宋"/>
        </w:rPr>
        <w:t>★2、菜品指示：菜品名称、价格、营养成份包括热量、蛋白质等信息。</w:t>
      </w:r>
    </w:p>
    <w:p>
      <w:pPr>
        <w:pStyle w:val="8"/>
        <w:ind w:firstLine="480"/>
        <w:rPr>
          <w:rFonts w:ascii="仿宋" w:hAnsi="仿宋" w:eastAsia="仿宋"/>
        </w:rPr>
      </w:pPr>
      <w:r>
        <w:rPr>
          <w:rFonts w:hint="eastAsia" w:ascii="仿宋" w:hAnsi="仿宋" w:eastAsia="仿宋"/>
        </w:rPr>
        <w:t>3、出品指示：显示屏指示是否出品成功，并有蜂鸣器和指示灯指示。</w:t>
      </w:r>
    </w:p>
    <w:p>
      <w:pPr>
        <w:pStyle w:val="8"/>
        <w:ind w:firstLine="480"/>
        <w:rPr>
          <w:rFonts w:ascii="仿宋" w:hAnsi="仿宋" w:eastAsia="仿宋"/>
        </w:rPr>
      </w:pPr>
      <w:r>
        <w:rPr>
          <w:rFonts w:hint="eastAsia" w:ascii="仿宋" w:hAnsi="仿宋" w:eastAsia="仿宋"/>
        </w:rPr>
        <w:t>4、脱机使用，离线状态也可以正常出品工作。重要参数：</w:t>
      </w:r>
    </w:p>
    <w:p>
      <w:pPr>
        <w:pStyle w:val="8"/>
        <w:ind w:firstLine="480"/>
        <w:rPr>
          <w:rFonts w:ascii="仿宋" w:hAnsi="仿宋" w:eastAsia="仿宋"/>
        </w:rPr>
      </w:pPr>
      <w:r>
        <w:rPr>
          <w:rFonts w:hint="eastAsia" w:ascii="仿宋" w:hAnsi="仿宋" w:eastAsia="仿宋"/>
        </w:rPr>
        <w:t>1、结构：不锈钢框架，钢化玻璃面板。</w:t>
      </w:r>
    </w:p>
    <w:p>
      <w:pPr>
        <w:pStyle w:val="8"/>
        <w:ind w:firstLine="480"/>
        <w:rPr>
          <w:rFonts w:ascii="仿宋" w:hAnsi="仿宋" w:eastAsia="仿宋"/>
        </w:rPr>
      </w:pPr>
      <w:r>
        <w:rPr>
          <w:rFonts w:hint="eastAsia" w:ascii="仿宋" w:hAnsi="仿宋" w:eastAsia="仿宋"/>
        </w:rPr>
        <w:t>2、集成多个出品模块，出品模块带有不少于1.3寸的显示屏。</w:t>
      </w:r>
    </w:p>
    <w:p>
      <w:pPr>
        <w:pStyle w:val="8"/>
        <w:ind w:firstLine="480"/>
        <w:rPr>
          <w:rFonts w:ascii="仿宋" w:hAnsi="仿宋" w:eastAsia="仿宋"/>
        </w:rPr>
      </w:pPr>
      <w:r>
        <w:rPr>
          <w:rFonts w:hint="eastAsia" w:ascii="仿宋" w:hAnsi="仿宋" w:eastAsia="仿宋"/>
        </w:rPr>
        <w:t>3、集成多个营养显示屏，营养显示模块不小于7寸的IPS屏（全视角屏）</w:t>
      </w:r>
    </w:p>
    <w:p>
      <w:pPr>
        <w:pStyle w:val="8"/>
        <w:ind w:firstLine="480"/>
        <w:rPr>
          <w:rFonts w:ascii="仿宋" w:hAnsi="仿宋" w:eastAsia="仿宋"/>
        </w:rPr>
      </w:pPr>
      <w:r>
        <w:rPr>
          <w:rFonts w:hint="eastAsia" w:ascii="仿宋" w:hAnsi="仿宋" w:eastAsia="仿宋"/>
        </w:rPr>
        <w:t>4、24小时不间断工作稳定。</w:t>
      </w:r>
    </w:p>
    <w:p>
      <w:pPr>
        <w:pStyle w:val="8"/>
        <w:ind w:firstLine="480"/>
        <w:rPr>
          <w:rFonts w:ascii="仿宋" w:hAnsi="仿宋" w:eastAsia="仿宋"/>
        </w:rPr>
      </w:pPr>
      <w:r>
        <w:rPr>
          <w:rFonts w:hint="eastAsia" w:ascii="仿宋" w:hAnsi="仿宋" w:eastAsia="仿宋"/>
        </w:rPr>
        <w:t>★二、其它功能和参数：</w:t>
      </w:r>
    </w:p>
    <w:p>
      <w:pPr>
        <w:pStyle w:val="8"/>
        <w:ind w:firstLine="480"/>
        <w:rPr>
          <w:rFonts w:ascii="仿宋" w:hAnsi="仿宋" w:eastAsia="仿宋"/>
        </w:rPr>
      </w:pPr>
      <w:r>
        <w:rPr>
          <w:rFonts w:hint="eastAsia" w:ascii="仿宋" w:hAnsi="仿宋" w:eastAsia="仿宋"/>
        </w:rPr>
        <w:t>1、脱机使用，离线状态也可以正常出品工作。</w:t>
      </w:r>
    </w:p>
    <w:p>
      <w:pPr>
        <w:pStyle w:val="8"/>
        <w:ind w:firstLine="480"/>
        <w:rPr>
          <w:rFonts w:ascii="仿宋" w:hAnsi="仿宋" w:eastAsia="仿宋"/>
        </w:rPr>
      </w:pPr>
      <w:r>
        <w:rPr>
          <w:rFonts w:hint="eastAsia" w:ascii="仿宋" w:hAnsi="仿宋" w:eastAsia="仿宋"/>
        </w:rPr>
        <w:t>2、菜品容量：每个设置5个时段，每个时段可设置99个菜品；</w:t>
      </w:r>
    </w:p>
    <w:p>
      <w:pPr>
        <w:pStyle w:val="8"/>
        <w:ind w:firstLine="480"/>
        <w:rPr>
          <w:rFonts w:ascii="仿宋" w:hAnsi="仿宋" w:eastAsia="仿宋"/>
        </w:rPr>
      </w:pPr>
      <w:r>
        <w:rPr>
          <w:rFonts w:hint="eastAsia" w:ascii="仿宋" w:hAnsi="仿宋" w:eastAsia="仿宋"/>
        </w:rPr>
        <w:t>3、状态指示：具有在线、离线、故障三种状态指示。</w:t>
      </w:r>
    </w:p>
    <w:p>
      <w:pPr>
        <w:pStyle w:val="8"/>
        <w:ind w:firstLine="480"/>
        <w:rPr>
          <w:rFonts w:ascii="仿宋" w:hAnsi="仿宋" w:eastAsia="仿宋"/>
        </w:rPr>
      </w:pPr>
      <w:r>
        <w:rPr>
          <w:rFonts w:hint="eastAsia" w:ascii="仿宋" w:hAnsi="仿宋" w:eastAsia="仿宋"/>
        </w:rPr>
        <w:t>4、出品模块可正常显示餐次、菜品和工作状态。</w:t>
      </w:r>
    </w:p>
    <w:p>
      <w:pPr>
        <w:pStyle w:val="8"/>
        <w:ind w:firstLine="480"/>
        <w:rPr>
          <w:rFonts w:ascii="仿宋" w:hAnsi="仿宋" w:eastAsia="仿宋"/>
        </w:rPr>
      </w:pPr>
      <w:r>
        <w:rPr>
          <w:rFonts w:hint="eastAsia" w:ascii="仿宋" w:hAnsi="仿宋" w:eastAsia="仿宋"/>
        </w:rPr>
        <w:t>5、出品指示：显示屏指示是否出品成功，并有蜂鸣器和指示灯指示。</w:t>
      </w:r>
    </w:p>
    <w:p>
      <w:pPr>
        <w:pStyle w:val="8"/>
        <w:ind w:firstLine="480"/>
        <w:rPr>
          <w:rFonts w:ascii="仿宋" w:hAnsi="仿宋" w:eastAsia="仿宋"/>
        </w:rPr>
      </w:pPr>
      <w:r>
        <w:rPr>
          <w:rFonts w:hint="eastAsia" w:ascii="仿宋" w:hAnsi="仿宋" w:eastAsia="仿宋"/>
        </w:rPr>
        <w:t>6、可设置临时菜谱每0.5元递增</w:t>
      </w:r>
    </w:p>
    <w:p>
      <w:pPr>
        <w:pStyle w:val="8"/>
        <w:ind w:firstLine="480"/>
        <w:rPr>
          <w:rFonts w:ascii="仿宋" w:hAnsi="仿宋" w:eastAsia="仿宋"/>
        </w:rPr>
      </w:pPr>
      <w:r>
        <w:rPr>
          <w:rFonts w:hint="eastAsia" w:ascii="仿宋" w:hAnsi="仿宋" w:eastAsia="仿宋"/>
        </w:rPr>
        <w:t>7、低温要求：符合GB/T2423.1-2008</w:t>
      </w:r>
    </w:p>
    <w:p>
      <w:pPr>
        <w:pStyle w:val="8"/>
        <w:ind w:firstLine="480"/>
        <w:rPr>
          <w:rFonts w:ascii="仿宋" w:hAnsi="仿宋" w:eastAsia="仿宋"/>
        </w:rPr>
      </w:pPr>
      <w:r>
        <w:rPr>
          <w:rFonts w:hint="eastAsia" w:ascii="仿宋" w:hAnsi="仿宋" w:eastAsia="仿宋"/>
        </w:rPr>
        <w:t>8、高温要求：符合GB/T2423.2-2008</w:t>
      </w:r>
    </w:p>
    <w:p>
      <w:pPr>
        <w:pStyle w:val="8"/>
        <w:ind w:firstLine="480"/>
        <w:rPr>
          <w:rFonts w:ascii="仿宋" w:hAnsi="仿宋" w:eastAsia="仿宋"/>
        </w:rPr>
      </w:pPr>
      <w:r>
        <w:rPr>
          <w:rFonts w:hint="eastAsia" w:ascii="仿宋" w:hAnsi="仿宋" w:eastAsia="仿宋"/>
        </w:rPr>
        <w:t>9、湿热要求：符合GB/T2423.3-2016</w:t>
      </w:r>
    </w:p>
    <w:p>
      <w:pPr>
        <w:pStyle w:val="8"/>
        <w:ind w:firstLine="480"/>
        <w:rPr>
          <w:rFonts w:ascii="仿宋" w:hAnsi="仿宋" w:eastAsia="仿宋"/>
          <w:shd w:val="clear" w:color="auto" w:fill="BEBEBE" w:themeFill="background1" w:themeFillShade="BF"/>
        </w:rPr>
      </w:pPr>
      <w:r>
        <w:rPr>
          <w:rFonts w:hint="eastAsia" w:ascii="仿宋" w:hAnsi="仿宋" w:eastAsia="仿宋"/>
          <w:shd w:val="clear" w:color="auto" w:fill="BEBEBE" w:themeFill="background1" w:themeFillShade="BF"/>
        </w:rPr>
        <w:t>★三、证明材料和其它证书：</w:t>
      </w:r>
    </w:p>
    <w:p>
      <w:pPr>
        <w:pStyle w:val="8"/>
        <w:ind w:firstLine="480"/>
        <w:rPr>
          <w:rFonts w:ascii="仿宋" w:hAnsi="仿宋" w:eastAsia="仿宋"/>
          <w:shd w:val="clear" w:color="auto" w:fill="BEBEBE" w:themeFill="background1" w:themeFillShade="BF"/>
        </w:rPr>
      </w:pPr>
      <w:r>
        <w:rPr>
          <w:rFonts w:hint="eastAsia" w:ascii="仿宋" w:hAnsi="仿宋" w:eastAsia="仿宋"/>
          <w:shd w:val="clear" w:color="auto" w:fill="BEBEBE" w:themeFill="background1" w:themeFillShade="BF"/>
        </w:rPr>
        <w:t>1、产品需要提供出品机嵌入式管理软件和营养价签嵌入式管理软件著作权证书。</w:t>
      </w:r>
    </w:p>
    <w:p>
      <w:pPr>
        <w:pStyle w:val="8"/>
        <w:ind w:firstLine="480"/>
        <w:rPr>
          <w:rFonts w:ascii="仿宋" w:hAnsi="仿宋" w:eastAsia="仿宋"/>
          <w:shd w:val="clear" w:color="auto" w:fill="BEBEBE" w:themeFill="background1" w:themeFillShade="BF"/>
        </w:rPr>
      </w:pPr>
      <w:r>
        <w:rPr>
          <w:rFonts w:hint="eastAsia" w:ascii="仿宋" w:hAnsi="仿宋" w:eastAsia="仿宋"/>
          <w:shd w:val="clear" w:color="auto" w:fill="BEBEBE" w:themeFill="background1" w:themeFillShade="BF"/>
        </w:rPr>
        <w:t>2、核心功能和重要参数须提供具有CMA或CNAS认证的检测机构出具的产品检测报告来证明，检测报告上有对应项目，检测报告无该项目则该条技术参数条款负偏离。</w:t>
      </w:r>
    </w:p>
    <w:p>
      <w:pPr>
        <w:rPr>
          <w:rFonts w:ascii="仿宋" w:hAnsi="仿宋" w:eastAsia="仿宋"/>
        </w:rPr>
      </w:pPr>
    </w:p>
    <w:p>
      <w:pPr>
        <w:rPr>
          <w:rFonts w:ascii="仿宋" w:hAnsi="仿宋" w:eastAsia="仿宋"/>
        </w:rPr>
      </w:pPr>
    </w:p>
    <w:p>
      <w:pPr>
        <w:rPr>
          <w:rFonts w:ascii="仿宋" w:hAnsi="仿宋" w:eastAsia="仿宋"/>
          <w:b/>
        </w:rPr>
      </w:pPr>
      <w:r>
        <w:rPr>
          <w:rFonts w:hint="eastAsia" w:ascii="仿宋" w:hAnsi="仿宋" w:eastAsia="仿宋"/>
          <w:b/>
        </w:rPr>
        <w:t>（2）发卡器：</w:t>
      </w:r>
    </w:p>
    <w:p>
      <w:pPr>
        <w:rPr>
          <w:rFonts w:ascii="仿宋" w:hAnsi="仿宋" w:eastAsia="仿宋"/>
        </w:rPr>
      </w:pPr>
      <w:r>
        <w:rPr>
          <w:rFonts w:hint="eastAsia" w:ascii="仿宋" w:hAnsi="仿宋" w:eastAsia="仿宋"/>
        </w:rPr>
        <w:t xml:space="preserve">1、工作频率：13.56M </w:t>
      </w:r>
    </w:p>
    <w:p>
      <w:pPr>
        <w:rPr>
          <w:rFonts w:ascii="仿宋" w:hAnsi="仿宋" w:eastAsia="仿宋"/>
        </w:rPr>
      </w:pPr>
      <w:r>
        <w:rPr>
          <w:rFonts w:hint="eastAsia" w:ascii="仿宋" w:hAnsi="仿宋" w:eastAsia="仿宋"/>
        </w:rPr>
        <w:t>2、高温：60度 低温：-10度  正常工作</w:t>
      </w:r>
    </w:p>
    <w:p>
      <w:pPr>
        <w:rPr>
          <w:rFonts w:ascii="仿宋" w:hAnsi="仿宋" w:eastAsia="仿宋"/>
        </w:rPr>
      </w:pPr>
      <w:r>
        <w:rPr>
          <w:rFonts w:hint="eastAsia" w:ascii="仿宋" w:hAnsi="仿宋" w:eastAsia="仿宋"/>
        </w:rPr>
        <w:t>★3、以上内容须提供具有CMA或CNAS认证的检测机构出具的检测报告</w:t>
      </w:r>
    </w:p>
    <w:p>
      <w:pPr>
        <w:rPr>
          <w:rFonts w:ascii="仿宋" w:hAnsi="仿宋" w:eastAsia="仿宋"/>
        </w:rPr>
      </w:pPr>
    </w:p>
    <w:p>
      <w:pPr>
        <w:rPr>
          <w:rFonts w:ascii="仿宋" w:hAnsi="仿宋" w:eastAsia="仿宋"/>
          <w:b/>
        </w:rPr>
      </w:pPr>
      <w:r>
        <w:rPr>
          <w:rFonts w:hint="eastAsia" w:ascii="仿宋" w:hAnsi="仿宋" w:eastAsia="仿宋"/>
          <w:b/>
        </w:rPr>
        <w:t>（3）智慧食堂管理软件：</w:t>
      </w:r>
    </w:p>
    <w:p>
      <w:pPr>
        <w:rPr>
          <w:rFonts w:ascii="仿宋" w:hAnsi="仿宋" w:eastAsia="仿宋"/>
          <w:shd w:val="clear" w:color="auto" w:fill="BEBEBE" w:themeFill="background1" w:themeFillShade="BF"/>
        </w:rPr>
      </w:pPr>
      <w:r>
        <w:rPr>
          <w:rFonts w:hint="eastAsia" w:ascii="仿宋" w:hAnsi="仿宋" w:eastAsia="仿宋"/>
          <w:shd w:val="clear" w:color="auto" w:fill="BEBEBE" w:themeFill="background1" w:themeFillShade="BF"/>
        </w:rPr>
        <w:t>★1、采用B/S架构，主要模块有：基础设置、菜品菜谱管理、订单中心、营销中心、通知中心、用户中心、采购中心、库存中心、健康中心、报表中心（本条需提供软件地址演示证明）；</w:t>
      </w:r>
    </w:p>
    <w:p>
      <w:pPr>
        <w:rPr>
          <w:rFonts w:ascii="仿宋" w:hAnsi="仿宋" w:eastAsia="仿宋"/>
        </w:rPr>
      </w:pPr>
      <w:r>
        <w:rPr>
          <w:rFonts w:hint="eastAsia" w:ascii="仿宋" w:hAnsi="仿宋" w:eastAsia="仿宋"/>
        </w:rPr>
        <w:t>2.食堂管理：对食堂信息进行新增，删除、修改、查询操作，设置食堂的标签，食堂树结构，订餐信息、餐桌信息、档口信息、支付信息；</w:t>
      </w:r>
    </w:p>
    <w:p>
      <w:pPr>
        <w:rPr>
          <w:rFonts w:ascii="仿宋" w:hAnsi="仿宋" w:eastAsia="仿宋"/>
        </w:rPr>
      </w:pPr>
      <w:r>
        <w:rPr>
          <w:rFonts w:hint="eastAsia" w:ascii="仿宋" w:hAnsi="仿宋" w:eastAsia="仿宋"/>
        </w:rPr>
        <w:t>3、设备管理：支持前后端设备的新增、查询、修改和删除操作、设置商家基础信息；</w:t>
      </w:r>
    </w:p>
    <w:p>
      <w:pPr>
        <w:rPr>
          <w:rFonts w:ascii="仿宋" w:hAnsi="仿宋" w:eastAsia="仿宋"/>
        </w:rPr>
      </w:pPr>
      <w:r>
        <w:rPr>
          <w:rFonts w:hint="eastAsia" w:ascii="仿宋" w:hAnsi="仿宋" w:eastAsia="仿宋"/>
        </w:rPr>
        <w:t>4、用户角色及权限：可设置对用户、角色、营业时间、时间段、的新增、删除、修改、查询操作，及设置用户权限；</w:t>
      </w:r>
    </w:p>
    <w:p>
      <w:pPr>
        <w:rPr>
          <w:rFonts w:ascii="仿宋" w:hAnsi="仿宋" w:eastAsia="仿宋"/>
        </w:rPr>
      </w:pPr>
      <w:r>
        <w:rPr>
          <w:rFonts w:hint="eastAsia" w:ascii="仿宋" w:hAnsi="仿宋" w:eastAsia="仿宋"/>
        </w:rPr>
        <w:t>5、小程序设置：轮播图、自定义栏、广告图、基础设置、取餐提醒、推荐菜品，进行编辑，删除，修改、查询、微信、支付宝、秘钥，公钥等进行配置；</w:t>
      </w:r>
    </w:p>
    <w:p>
      <w:pPr>
        <w:rPr>
          <w:rFonts w:ascii="仿宋" w:hAnsi="仿宋" w:eastAsia="仿宋"/>
        </w:rPr>
      </w:pPr>
      <w:r>
        <w:rPr>
          <w:rFonts w:hint="eastAsia" w:ascii="仿宋" w:hAnsi="仿宋" w:eastAsia="仿宋"/>
        </w:rPr>
        <w:t>6、菜品菜谱：可对原材料、商品、套餐、菜谱、菜品类别、菜品灶类、菜品标签、菜品口味、菜品分类、菜品功效、菜品菜系、菜品事宜群等进行新增、修改、查询等操作；</w:t>
      </w:r>
    </w:p>
    <w:p>
      <w:pPr>
        <w:rPr>
          <w:rFonts w:ascii="仿宋" w:hAnsi="仿宋" w:eastAsia="仿宋"/>
        </w:rPr>
      </w:pPr>
      <w:r>
        <w:rPr>
          <w:rFonts w:hint="eastAsia" w:ascii="仿宋" w:hAnsi="仿宋" w:eastAsia="仿宋"/>
        </w:rPr>
        <w:t>7、订单中心：可对消费订单，订单汇总，配送明细，订单退款，异常订单进行相关操作；8、营销中心：可对消费规则进行新增、删除、修改、查询操作；9、积分换购：可对积分获取、积分抵用规则进行新增、修改、查询等操作；10、餐券过来：可对通用券、红包设置、充值规则配置、优惠券模板、充值模板、退款规则等进行相关操作；11、通知中心：可对规则设置、临时通知、历史通知等进行查看的相关操作；12、用户中心：组织架构、位置信息进行新增、删除、修改、查询操作；13、人员标签管理：可对职位职称、人员类别、人员资料、临时人员进行相关操作；14、充值取款：可对账户充值、补贴充值、充值记录、充值汇总、取款记录、取款汇总、销户退款记录、充值退款记录、账目信息等进行相关操作；15、采购中心：可对供应商、采购订单进行新增、删除、修改、查询的操作；16、库存中心：可对仓库管理、计量单位、仓库库存配置、入库、出库的相关操作；17、报表中心：可对食堂档口、部门汇总、设备汇总、个人消费方式汇总、核销方式汇总、人员类别汇总、个人收支汇总、流水详情、历史余额、菜品销售汇总、销售情况分析表、操作员统计表、人员换卡记录标、系统运行标等查看；18、软件还包含信息安全、可靠性、维护性、易用性、易安装性、本地化等多种功能的操作；</w:t>
      </w:r>
    </w:p>
    <w:p>
      <w:pPr>
        <w:rPr>
          <w:rFonts w:ascii="仿宋" w:hAnsi="仿宋" w:eastAsia="仿宋"/>
        </w:rPr>
      </w:pPr>
    </w:p>
    <w:p>
      <w:pPr>
        <w:rPr>
          <w:rFonts w:ascii="仿宋" w:hAnsi="仿宋" w:eastAsia="仿宋"/>
          <w:b/>
        </w:rPr>
      </w:pPr>
      <w:r>
        <w:rPr>
          <w:rFonts w:hint="eastAsia" w:ascii="仿宋" w:hAnsi="仿宋" w:eastAsia="仿宋"/>
          <w:b/>
        </w:rPr>
        <w:t>（4）人脸识别双屏消费机机</w:t>
      </w:r>
    </w:p>
    <w:p>
      <w:pPr>
        <w:pStyle w:val="8"/>
        <w:ind w:firstLine="480"/>
        <w:rPr>
          <w:rFonts w:ascii="仿宋" w:hAnsi="仿宋" w:eastAsia="仿宋"/>
        </w:rPr>
      </w:pPr>
      <w:r>
        <w:rPr>
          <w:rFonts w:hint="eastAsia" w:ascii="仿宋" w:hAnsi="仿宋" w:eastAsia="仿宋"/>
        </w:rPr>
        <w:t>★一、核心功能：</w:t>
      </w:r>
    </w:p>
    <w:p>
      <w:pPr>
        <w:pStyle w:val="8"/>
        <w:ind w:firstLine="480"/>
        <w:rPr>
          <w:rFonts w:ascii="仿宋" w:hAnsi="仿宋" w:eastAsia="仿宋"/>
        </w:rPr>
      </w:pPr>
      <w:r>
        <w:rPr>
          <w:rFonts w:hint="eastAsia" w:ascii="仿宋" w:hAnsi="仿宋" w:eastAsia="仿宋"/>
        </w:rPr>
        <w:t>1、人脸识别：人脸库容量不少于2万人、识别时间小于0.5秒，识别准确率大于99.8%</w:t>
      </w:r>
    </w:p>
    <w:p>
      <w:pPr>
        <w:pStyle w:val="8"/>
        <w:ind w:firstLine="480"/>
        <w:rPr>
          <w:rFonts w:ascii="仿宋" w:hAnsi="仿宋" w:eastAsia="仿宋"/>
        </w:rPr>
      </w:pPr>
      <w:r>
        <w:rPr>
          <w:rFonts w:hint="eastAsia" w:ascii="仿宋" w:hAnsi="仿宋" w:eastAsia="仿宋"/>
        </w:rPr>
        <w:t>2、刷卡识别：卡识别距离大于30MM、识别时间小于0.5秒，识别区域直径不少于45MM。</w:t>
      </w:r>
    </w:p>
    <w:p>
      <w:pPr>
        <w:pStyle w:val="8"/>
        <w:ind w:firstLine="480"/>
        <w:rPr>
          <w:rFonts w:ascii="仿宋" w:hAnsi="仿宋" w:eastAsia="仿宋"/>
        </w:rPr>
      </w:pPr>
      <w:r>
        <w:rPr>
          <w:rFonts w:hint="eastAsia" w:ascii="仿宋" w:hAnsi="仿宋" w:eastAsia="仿宋"/>
        </w:rPr>
        <w:t>★二、重要参数：</w:t>
      </w:r>
    </w:p>
    <w:p>
      <w:pPr>
        <w:pStyle w:val="8"/>
        <w:ind w:firstLine="480"/>
        <w:rPr>
          <w:rFonts w:ascii="仿宋" w:hAnsi="仿宋" w:eastAsia="仿宋"/>
        </w:rPr>
      </w:pPr>
      <w:r>
        <w:rPr>
          <w:rFonts w:hint="eastAsia" w:ascii="仿宋" w:hAnsi="仿宋" w:eastAsia="仿宋"/>
        </w:rPr>
        <w:t>1、主频不低于1.8G，内存不少于2GB，硬盘不少于16GB</w:t>
      </w:r>
    </w:p>
    <w:p>
      <w:pPr>
        <w:pStyle w:val="8"/>
        <w:ind w:firstLine="480"/>
        <w:rPr>
          <w:rFonts w:ascii="仿宋" w:hAnsi="仿宋" w:eastAsia="仿宋"/>
        </w:rPr>
      </w:pPr>
      <w:r>
        <w:rPr>
          <w:rFonts w:hint="eastAsia" w:ascii="仿宋" w:hAnsi="仿宋" w:eastAsia="仿宋"/>
        </w:rPr>
        <w:t>2、双显示屏，显示屏尺寸大于11寸。</w:t>
      </w:r>
    </w:p>
    <w:p>
      <w:pPr>
        <w:pStyle w:val="8"/>
        <w:ind w:firstLine="480"/>
        <w:rPr>
          <w:rFonts w:ascii="仿宋" w:hAnsi="仿宋" w:eastAsia="仿宋"/>
        </w:rPr>
      </w:pPr>
      <w:r>
        <w:rPr>
          <w:rFonts w:hint="eastAsia" w:ascii="仿宋" w:hAnsi="仿宋" w:eastAsia="仿宋"/>
        </w:rPr>
        <w:t>3、红外双目摄像头、支持活体识别，内置读卡模块。</w:t>
      </w:r>
    </w:p>
    <w:p>
      <w:pPr>
        <w:pStyle w:val="8"/>
        <w:ind w:firstLine="480"/>
        <w:rPr>
          <w:rFonts w:ascii="仿宋" w:hAnsi="仿宋" w:eastAsia="仿宋"/>
        </w:rPr>
      </w:pPr>
      <w:r>
        <w:rPr>
          <w:rFonts w:hint="eastAsia" w:ascii="仿宋" w:hAnsi="仿宋" w:eastAsia="仿宋"/>
        </w:rPr>
        <w:t>4、24小时不间断运行设备正常稳定。</w:t>
      </w:r>
    </w:p>
    <w:p>
      <w:pPr>
        <w:pStyle w:val="8"/>
        <w:ind w:firstLine="480"/>
        <w:rPr>
          <w:rFonts w:ascii="仿宋" w:hAnsi="仿宋" w:eastAsia="仿宋"/>
        </w:rPr>
      </w:pPr>
      <w:r>
        <w:rPr>
          <w:rFonts w:hint="eastAsia" w:ascii="仿宋" w:hAnsi="仿宋" w:eastAsia="仿宋"/>
        </w:rPr>
        <w:t>三、其它功能和参数：</w:t>
      </w:r>
    </w:p>
    <w:p>
      <w:pPr>
        <w:pStyle w:val="8"/>
        <w:ind w:firstLine="480"/>
        <w:rPr>
          <w:rFonts w:ascii="仿宋" w:hAnsi="仿宋" w:eastAsia="仿宋"/>
        </w:rPr>
      </w:pPr>
      <w:r>
        <w:rPr>
          <w:rFonts w:hint="eastAsia" w:ascii="仿宋" w:hAnsi="仿宋" w:eastAsia="仿宋"/>
        </w:rPr>
        <w:t>1、采用电容触摸屏，多点触控；</w:t>
      </w:r>
    </w:p>
    <w:p>
      <w:pPr>
        <w:pStyle w:val="8"/>
        <w:ind w:firstLine="480"/>
        <w:rPr>
          <w:rFonts w:ascii="仿宋" w:hAnsi="仿宋" w:eastAsia="仿宋"/>
        </w:rPr>
      </w:pPr>
      <w:r>
        <w:rPr>
          <w:rFonts w:hint="eastAsia" w:ascii="仿宋" w:hAnsi="仿宋" w:eastAsia="仿宋"/>
        </w:rPr>
        <w:t>2、强光识别：阳光直照下也可以正常识别；</w:t>
      </w:r>
    </w:p>
    <w:p>
      <w:pPr>
        <w:pStyle w:val="8"/>
        <w:ind w:firstLine="480"/>
        <w:rPr>
          <w:rFonts w:ascii="仿宋" w:hAnsi="仿宋" w:eastAsia="仿宋"/>
        </w:rPr>
      </w:pPr>
      <w:r>
        <w:rPr>
          <w:rFonts w:hint="eastAsia" w:ascii="仿宋" w:hAnsi="仿宋" w:eastAsia="仿宋"/>
        </w:rPr>
        <w:t>3、营养显示：输入菜品时显示菜品营养数据，包括热量、蛋白质、膳食纤维；</w:t>
      </w:r>
    </w:p>
    <w:p>
      <w:pPr>
        <w:pStyle w:val="8"/>
        <w:ind w:firstLine="480"/>
        <w:rPr>
          <w:rFonts w:ascii="仿宋" w:hAnsi="仿宋" w:eastAsia="仿宋"/>
        </w:rPr>
      </w:pPr>
      <w:r>
        <w:rPr>
          <w:rFonts w:hint="eastAsia" w:ascii="仿宋" w:hAnsi="仿宋" w:eastAsia="仿宋"/>
        </w:rPr>
        <w:t>4、消费模式：菜单、类别、数字输入三种消费模式；</w:t>
      </w:r>
    </w:p>
    <w:p>
      <w:pPr>
        <w:pStyle w:val="8"/>
        <w:ind w:firstLine="480"/>
        <w:rPr>
          <w:rFonts w:ascii="仿宋" w:hAnsi="仿宋" w:eastAsia="仿宋"/>
        </w:rPr>
      </w:pPr>
      <w:r>
        <w:rPr>
          <w:rFonts w:hint="eastAsia" w:ascii="仿宋" w:hAnsi="仿宋" w:eastAsia="仿宋"/>
        </w:rPr>
        <w:t>5、扫码支付：支持微信、支付宝等支付方式</w:t>
      </w:r>
    </w:p>
    <w:p>
      <w:pPr>
        <w:pStyle w:val="8"/>
        <w:ind w:firstLine="480"/>
        <w:rPr>
          <w:rFonts w:ascii="仿宋" w:hAnsi="仿宋" w:eastAsia="仿宋"/>
        </w:rPr>
      </w:pPr>
      <w:r>
        <w:rPr>
          <w:rFonts w:hint="eastAsia" w:ascii="仿宋" w:hAnsi="仿宋" w:eastAsia="仿宋"/>
        </w:rPr>
        <w:t>6、累计扣款：支持菜单和键盘累计扣款</w:t>
      </w:r>
    </w:p>
    <w:p>
      <w:pPr>
        <w:pStyle w:val="8"/>
        <w:ind w:firstLine="480"/>
        <w:rPr>
          <w:rFonts w:ascii="仿宋" w:hAnsi="仿宋" w:eastAsia="仿宋"/>
        </w:rPr>
      </w:pPr>
      <w:r>
        <w:rPr>
          <w:rFonts w:hint="eastAsia" w:ascii="仿宋" w:hAnsi="仿宋" w:eastAsia="仿宋"/>
        </w:rPr>
        <w:t>7、语音提示：有成功及余额不足等提示</w:t>
      </w:r>
    </w:p>
    <w:p>
      <w:pPr>
        <w:pStyle w:val="8"/>
        <w:ind w:firstLine="480"/>
        <w:rPr>
          <w:rFonts w:ascii="仿宋" w:hAnsi="仿宋" w:eastAsia="仿宋"/>
        </w:rPr>
      </w:pPr>
      <w:r>
        <w:rPr>
          <w:rFonts w:hint="eastAsia" w:ascii="仿宋" w:hAnsi="仿宋" w:eastAsia="仿宋"/>
        </w:rPr>
        <w:t>8、设备开户容量：≧10万；</w:t>
      </w:r>
    </w:p>
    <w:p>
      <w:pPr>
        <w:pStyle w:val="8"/>
        <w:ind w:firstLine="480"/>
        <w:rPr>
          <w:rFonts w:ascii="仿宋" w:hAnsi="仿宋" w:eastAsia="仿宋"/>
        </w:rPr>
      </w:pPr>
      <w:r>
        <w:rPr>
          <w:rFonts w:hint="eastAsia" w:ascii="仿宋" w:hAnsi="仿宋" w:eastAsia="仿宋"/>
        </w:rPr>
        <w:t>9、低温要求：符合GB/T2423.1-2008；</w:t>
      </w:r>
    </w:p>
    <w:p>
      <w:pPr>
        <w:pStyle w:val="8"/>
        <w:ind w:firstLine="480"/>
        <w:rPr>
          <w:rFonts w:ascii="仿宋" w:hAnsi="仿宋" w:eastAsia="仿宋"/>
        </w:rPr>
      </w:pPr>
      <w:r>
        <w:rPr>
          <w:rFonts w:hint="eastAsia" w:ascii="仿宋" w:hAnsi="仿宋" w:eastAsia="仿宋"/>
        </w:rPr>
        <w:t>10、高温要求：符合GB/T2423.2-2008；</w:t>
      </w:r>
    </w:p>
    <w:p>
      <w:pPr>
        <w:pStyle w:val="8"/>
        <w:ind w:firstLine="480"/>
        <w:rPr>
          <w:rFonts w:ascii="仿宋" w:hAnsi="仿宋" w:eastAsia="仿宋"/>
        </w:rPr>
      </w:pPr>
      <w:r>
        <w:rPr>
          <w:rFonts w:hint="eastAsia" w:ascii="仿宋" w:hAnsi="仿宋" w:eastAsia="仿宋"/>
        </w:rPr>
        <w:t>11、湿热要求：GB/T 2423.3-2016；</w:t>
      </w:r>
    </w:p>
    <w:p>
      <w:pPr>
        <w:pStyle w:val="8"/>
        <w:ind w:firstLine="480"/>
        <w:rPr>
          <w:rFonts w:ascii="仿宋" w:hAnsi="仿宋" w:eastAsia="仿宋"/>
        </w:rPr>
      </w:pPr>
      <w:r>
        <w:rPr>
          <w:rFonts w:hint="eastAsia" w:ascii="仿宋" w:hAnsi="仿宋" w:eastAsia="仿宋"/>
        </w:rPr>
        <w:t>12、工作温度满足：0℃~45℃；13、工作湿度：5%~95%（无凝结）</w:t>
      </w:r>
    </w:p>
    <w:p>
      <w:pPr>
        <w:pStyle w:val="8"/>
        <w:ind w:firstLine="480"/>
        <w:rPr>
          <w:rFonts w:ascii="仿宋" w:hAnsi="仿宋" w:eastAsia="仿宋"/>
          <w:shd w:val="clear" w:color="auto" w:fill="BEBEBE" w:themeFill="background1" w:themeFillShade="BF"/>
        </w:rPr>
      </w:pPr>
      <w:r>
        <w:rPr>
          <w:rFonts w:hint="eastAsia" w:ascii="仿宋" w:hAnsi="仿宋" w:eastAsia="仿宋"/>
          <w:shd w:val="clear" w:color="auto" w:fill="BEBEBE" w:themeFill="background1" w:themeFillShade="BF"/>
        </w:rPr>
        <w:t>★四、证明材料和其它证书：</w:t>
      </w:r>
    </w:p>
    <w:p>
      <w:pPr>
        <w:pStyle w:val="8"/>
        <w:ind w:firstLine="480"/>
        <w:rPr>
          <w:rFonts w:ascii="仿宋" w:hAnsi="仿宋" w:eastAsia="仿宋"/>
          <w:shd w:val="clear" w:color="auto" w:fill="BEBEBE" w:themeFill="background1" w:themeFillShade="BF"/>
        </w:rPr>
      </w:pPr>
      <w:r>
        <w:rPr>
          <w:rFonts w:hint="eastAsia" w:ascii="仿宋" w:hAnsi="仿宋" w:eastAsia="仿宋"/>
          <w:shd w:val="clear" w:color="auto" w:fill="BEBEBE" w:themeFill="background1" w:themeFillShade="BF"/>
        </w:rPr>
        <w:t>1、产品需要提供人脸识别收费机嵌入式软件著作权证书。</w:t>
      </w:r>
    </w:p>
    <w:p>
      <w:pPr>
        <w:pStyle w:val="8"/>
        <w:ind w:firstLine="480"/>
        <w:rPr>
          <w:rFonts w:ascii="仿宋" w:hAnsi="仿宋" w:eastAsia="仿宋"/>
          <w:shd w:val="clear" w:color="auto" w:fill="BEBEBE" w:themeFill="background1" w:themeFillShade="BF"/>
        </w:rPr>
      </w:pPr>
      <w:r>
        <w:rPr>
          <w:rFonts w:hint="eastAsia" w:ascii="仿宋" w:hAnsi="仿宋" w:eastAsia="仿宋"/>
          <w:shd w:val="clear" w:color="auto" w:fill="BEBEBE" w:themeFill="background1" w:themeFillShade="BF"/>
        </w:rPr>
        <w:t>2、功能和参数须提供具有CMA或CNAS认证的检测机构出具的产品检测报告来证明，检测报告上有对应项目，检测报告无该项目则该条技术参数条款负偏离。</w:t>
      </w:r>
    </w:p>
    <w:p>
      <w:pPr>
        <w:pStyle w:val="8"/>
        <w:ind w:firstLine="480"/>
        <w:rPr>
          <w:rFonts w:ascii="仿宋" w:hAnsi="仿宋" w:eastAsia="仿宋"/>
        </w:rPr>
      </w:pPr>
      <w:r>
        <w:rPr>
          <w:rFonts w:hint="eastAsia" w:ascii="仿宋" w:hAnsi="仿宋" w:eastAsia="仿宋"/>
        </w:rPr>
        <w:t>3、提供3C认证证书。</w:t>
      </w:r>
    </w:p>
    <w:p>
      <w:pPr>
        <w:rPr>
          <w:rFonts w:ascii="仿宋" w:hAnsi="仿宋" w:eastAsia="仿宋"/>
        </w:rPr>
      </w:pPr>
    </w:p>
    <w:p>
      <w:pPr>
        <w:rPr>
          <w:rFonts w:ascii="仿宋" w:hAnsi="仿宋" w:eastAsia="仿宋"/>
          <w:b/>
        </w:rPr>
      </w:pPr>
      <w:r>
        <w:rPr>
          <w:rFonts w:hint="eastAsia" w:ascii="仿宋" w:hAnsi="仿宋" w:eastAsia="仿宋"/>
          <w:b/>
        </w:rPr>
        <w:t>（5）餐具：</w:t>
      </w:r>
    </w:p>
    <w:p>
      <w:pPr>
        <w:pStyle w:val="8"/>
        <w:ind w:firstLine="480"/>
        <w:rPr>
          <w:rFonts w:ascii="仿宋" w:hAnsi="仿宋" w:eastAsia="仿宋"/>
        </w:rPr>
      </w:pPr>
      <w:r>
        <w:rPr>
          <w:rFonts w:hint="eastAsia" w:ascii="仿宋" w:hAnsi="仿宋" w:eastAsia="仿宋"/>
        </w:rPr>
        <w:t>1、餐具符合国家标准GB4806.7-2016,QB/T 1999-1994</w:t>
      </w:r>
    </w:p>
    <w:p>
      <w:pPr>
        <w:pStyle w:val="8"/>
        <w:ind w:firstLine="480"/>
        <w:rPr>
          <w:rFonts w:ascii="仿宋" w:hAnsi="仿宋" w:eastAsia="仿宋"/>
        </w:rPr>
      </w:pPr>
      <w:r>
        <w:rPr>
          <w:rFonts w:hint="eastAsia" w:ascii="仿宋" w:hAnsi="仿宋" w:eastAsia="仿宋"/>
        </w:rPr>
        <w:t>2、耐高温：符合GB/T2423.2-2008,温度200度，放置1分钟，功能及外观正常</w:t>
      </w:r>
    </w:p>
    <w:p>
      <w:pPr>
        <w:pStyle w:val="8"/>
        <w:ind w:firstLine="480"/>
        <w:rPr>
          <w:rFonts w:ascii="仿宋" w:hAnsi="仿宋" w:eastAsia="仿宋"/>
        </w:rPr>
      </w:pPr>
      <w:r>
        <w:rPr>
          <w:rFonts w:hint="eastAsia" w:ascii="仿宋" w:hAnsi="仿宋" w:eastAsia="仿宋"/>
        </w:rPr>
        <w:t>3、耐跌落：符合GB/2423.8-1995，高度1米，跌落20次，功能及外观正常；</w:t>
      </w:r>
    </w:p>
    <w:p>
      <w:pPr>
        <w:pStyle w:val="8"/>
        <w:ind w:firstLine="480"/>
        <w:rPr>
          <w:rFonts w:ascii="仿宋" w:hAnsi="仿宋" w:eastAsia="仿宋"/>
        </w:rPr>
      </w:pPr>
      <w:r>
        <w:rPr>
          <w:rFonts w:hint="eastAsia" w:ascii="仿宋" w:hAnsi="仿宋" w:eastAsia="仿宋"/>
        </w:rPr>
        <w:t>4、餐具符合欧盟2011/65/EU ROHS指令及修订指令的要求。</w:t>
      </w:r>
    </w:p>
    <w:p>
      <w:pPr>
        <w:pStyle w:val="8"/>
        <w:ind w:firstLine="480"/>
        <w:rPr>
          <w:rFonts w:ascii="仿宋" w:hAnsi="仿宋" w:eastAsia="仿宋"/>
        </w:rPr>
      </w:pPr>
      <w:r>
        <w:rPr>
          <w:rFonts w:hint="eastAsia" w:ascii="仿宋" w:hAnsi="仿宋" w:eastAsia="仿宋"/>
        </w:rPr>
        <w:t xml:space="preserve">5、芯片工作频率：13.56M </w:t>
      </w:r>
    </w:p>
    <w:p>
      <w:pPr>
        <w:pStyle w:val="8"/>
        <w:ind w:firstLine="480"/>
        <w:rPr>
          <w:rFonts w:ascii="仿宋" w:hAnsi="仿宋" w:eastAsia="仿宋"/>
          <w:shd w:val="clear" w:color="auto" w:fill="BEBEBE" w:themeFill="background1" w:themeFillShade="BF"/>
        </w:rPr>
      </w:pPr>
      <w:r>
        <w:rPr>
          <w:rFonts w:hint="eastAsia" w:ascii="仿宋" w:hAnsi="仿宋" w:eastAsia="仿宋"/>
          <w:shd w:val="clear" w:color="auto" w:fill="BEBEBE" w:themeFill="background1" w:themeFillShade="BF"/>
        </w:rPr>
        <w:t>★6、以上内容须制造厂家提供具有CMA或CNAS认证的检测机构出具的检测报告</w:t>
      </w:r>
    </w:p>
    <w:p>
      <w:pPr>
        <w:rPr>
          <w:rFonts w:ascii="仿宋" w:hAnsi="仿宋" w:eastAsia="仿宋"/>
        </w:rPr>
      </w:pPr>
    </w:p>
    <w:p>
      <w:pPr>
        <w:rPr>
          <w:rFonts w:ascii="仿宋" w:hAnsi="仿宋" w:eastAsia="仿宋"/>
          <w:b/>
        </w:rPr>
      </w:pPr>
      <w:r>
        <w:rPr>
          <w:rFonts w:hint="eastAsia" w:ascii="仿宋" w:hAnsi="仿宋" w:eastAsia="仿宋"/>
          <w:b/>
        </w:rPr>
        <w:t>同质疑3.1，已经标记★的都是采购人为预中标单位量身定制的，因为本项目已经被某预中标单位报备，</w:t>
      </w:r>
      <w:r>
        <w:rPr>
          <w:rFonts w:ascii="仿宋" w:hAnsi="仿宋" w:eastAsia="仿宋"/>
          <w:b/>
        </w:rPr>
        <w:t>其他</w:t>
      </w:r>
      <w:r>
        <w:rPr>
          <w:rFonts w:hint="eastAsia" w:ascii="仿宋" w:hAnsi="仿宋" w:eastAsia="仿宋"/>
          <w:b/>
        </w:rPr>
        <w:t>投标人无法拿到对应的检测报告，</w:t>
      </w:r>
      <w:r>
        <w:rPr>
          <w:rFonts w:ascii="仿宋" w:hAnsi="仿宋" w:eastAsia="仿宋"/>
          <w:b/>
        </w:rPr>
        <w:t>这些</w:t>
      </w:r>
      <w:r>
        <w:rPr>
          <w:rFonts w:hint="eastAsia" w:ascii="仿宋" w:hAnsi="仿宋" w:eastAsia="仿宋"/>
          <w:b/>
        </w:rPr>
        <w:t>检测报告不应该放在参数中来限制其他投标人正常公平的参与本项目，</w:t>
      </w:r>
      <w:r>
        <w:rPr>
          <w:rFonts w:ascii="仿宋" w:hAnsi="仿宋" w:eastAsia="仿宋"/>
          <w:b/>
        </w:rPr>
        <w:t>是</w:t>
      </w:r>
      <w:r>
        <w:rPr>
          <w:rFonts w:hint="eastAsia" w:ascii="仿宋" w:hAnsi="仿宋" w:eastAsia="仿宋"/>
          <w:b/>
        </w:rPr>
        <w:t>十分不合理的不合法的，明显是违反《</w:t>
      </w:r>
      <w:r>
        <w:rPr>
          <w:rFonts w:ascii="仿宋" w:hAnsi="仿宋" w:eastAsia="仿宋"/>
          <w:b/>
        </w:rPr>
        <w:t>中华人民共和国招标投标法第三十二条</w:t>
      </w:r>
      <w:r>
        <w:rPr>
          <w:rFonts w:hint="eastAsia" w:ascii="仿宋" w:hAnsi="仿宋" w:eastAsia="仿宋"/>
          <w:b/>
        </w:rPr>
        <w:t>》，</w:t>
      </w:r>
      <w:r>
        <w:rPr>
          <w:rFonts w:ascii="仿宋" w:hAnsi="仿宋" w:eastAsia="仿宋"/>
          <w:b/>
        </w:rPr>
        <w:t>因此</w:t>
      </w:r>
      <w:r>
        <w:rPr>
          <w:rFonts w:hint="eastAsia" w:ascii="仿宋" w:hAnsi="仿宋" w:eastAsia="仿宋"/>
          <w:b/>
        </w:rPr>
        <w:t>这些</w:t>
      </w:r>
      <w:r>
        <w:rPr>
          <w:rFonts w:hint="eastAsia" w:ascii="仿宋" w:hAnsi="仿宋" w:eastAsia="仿宋"/>
          <w:b/>
          <w:highlight w:val="yellow"/>
        </w:rPr>
        <w:t>★</w:t>
      </w:r>
      <w:r>
        <w:rPr>
          <w:rFonts w:hint="eastAsia" w:ascii="仿宋" w:hAnsi="仿宋" w:eastAsia="仿宋"/>
          <w:b/>
        </w:rPr>
        <w:t>要求的检测报告或者证明材料</w:t>
      </w:r>
      <w:r>
        <w:rPr>
          <w:rFonts w:ascii="仿宋" w:hAnsi="仿宋" w:eastAsia="仿宋"/>
          <w:b/>
        </w:rPr>
        <w:t>必须</w:t>
      </w:r>
      <w:r>
        <w:rPr>
          <w:rFonts w:hint="eastAsia" w:ascii="仿宋" w:hAnsi="仿宋" w:eastAsia="仿宋"/>
          <w:b/>
        </w:rPr>
        <w:t>删除。</w:t>
      </w:r>
    </w:p>
    <w:p>
      <w:pPr>
        <w:rPr>
          <w:rFonts w:ascii="仿宋" w:hAnsi="仿宋" w:eastAsia="仿宋"/>
          <w:b/>
        </w:rPr>
      </w:pPr>
    </w:p>
    <w:p>
      <w:pPr>
        <w:pStyle w:val="3"/>
        <w:rPr>
          <w:rFonts w:ascii="仿宋" w:hAnsi="仿宋" w:eastAsia="仿宋"/>
        </w:rPr>
      </w:pPr>
      <w:r>
        <w:rPr>
          <w:rFonts w:hint="eastAsia" w:ascii="仿宋" w:hAnsi="仿宋" w:eastAsia="仿宋"/>
        </w:rPr>
        <w:t>事实依据：</w:t>
      </w:r>
    </w:p>
    <w:p>
      <w:pPr>
        <w:rPr>
          <w:rFonts w:ascii="仿宋" w:hAnsi="仿宋" w:eastAsia="仿宋"/>
          <w:b/>
        </w:rPr>
      </w:pPr>
      <w:r>
        <w:rPr>
          <w:rFonts w:hint="eastAsia" w:ascii="仿宋" w:hAnsi="仿宋" w:eastAsia="仿宋"/>
          <w:b/>
        </w:rPr>
        <w:t>详见招标清单</w:t>
      </w:r>
    </w:p>
    <w:p>
      <w:pPr>
        <w:rPr>
          <w:rFonts w:ascii="仿宋" w:hAnsi="仿宋" w:eastAsia="仿宋"/>
          <w:b/>
        </w:rPr>
      </w:pPr>
    </w:p>
    <w:p>
      <w:pPr>
        <w:pStyle w:val="3"/>
        <w:rPr>
          <w:rFonts w:ascii="仿宋" w:hAnsi="仿宋" w:eastAsia="仿宋"/>
        </w:rPr>
      </w:pPr>
      <w:r>
        <w:rPr>
          <w:rFonts w:hint="eastAsia" w:ascii="仿宋" w:hAnsi="仿宋" w:eastAsia="仿宋"/>
        </w:rPr>
        <w:t>法律依据：</w:t>
      </w:r>
    </w:p>
    <w:p>
      <w:pPr>
        <w:rPr>
          <w:rFonts w:ascii="仿宋" w:hAnsi="仿宋" w:eastAsia="仿宋"/>
        </w:rPr>
      </w:pPr>
      <w:r>
        <w:rPr>
          <w:rFonts w:hint="eastAsia" w:ascii="仿宋" w:hAnsi="仿宋" w:eastAsia="仿宋"/>
        </w:rPr>
        <w:t>《</w:t>
      </w:r>
      <w:r>
        <w:rPr>
          <w:rFonts w:ascii="仿宋" w:hAnsi="仿宋" w:eastAsia="仿宋"/>
          <w:b/>
        </w:rPr>
        <w:t>中华人民共和国招标投标法第三十二条</w:t>
      </w:r>
      <w:r>
        <w:rPr>
          <w:rFonts w:hint="eastAsia" w:ascii="仿宋" w:hAnsi="仿宋" w:eastAsia="仿宋"/>
        </w:rPr>
        <w:t>》</w:t>
      </w:r>
    </w:p>
    <w:p>
      <w:pPr>
        <w:spacing w:line="336" w:lineRule="auto"/>
        <w:rPr>
          <w:rFonts w:hint="eastAsia" w:ascii="楷体" w:hAnsi="楷体" w:eastAsia="楷体" w:cs="楷体"/>
          <w:color w:val="FF0000"/>
          <w:sz w:val="28"/>
          <w:szCs w:val="28"/>
          <w:highlight w:val="yellow"/>
          <w:u w:val="dotted"/>
          <w:lang w:val="en-US" w:eastAsia="zh-CN"/>
        </w:rPr>
      </w:pPr>
    </w:p>
    <w:p>
      <w:pPr>
        <w:spacing w:line="336" w:lineRule="auto"/>
        <w:rPr>
          <w:rFonts w:ascii="楷体" w:hAnsi="楷体" w:eastAsia="楷体" w:cs="楷体"/>
          <w:color w:val="FF0000"/>
          <w:sz w:val="28"/>
          <w:szCs w:val="28"/>
          <w:highlight w:val="yellow"/>
          <w:u w:val="dotted"/>
        </w:rPr>
      </w:pPr>
      <w:r>
        <w:rPr>
          <w:rFonts w:hint="eastAsia" w:ascii="楷体" w:hAnsi="楷体" w:eastAsia="楷体" w:cs="楷体"/>
          <w:color w:val="FF0000"/>
          <w:sz w:val="28"/>
          <w:szCs w:val="28"/>
          <w:highlight w:val="yellow"/>
          <w:u w:val="dotted"/>
          <w:lang w:val="en-US" w:eastAsia="zh-CN"/>
        </w:rPr>
        <w:t>回复：</w:t>
      </w:r>
      <w:r>
        <w:rPr>
          <w:rFonts w:hint="eastAsia" w:ascii="楷体" w:hAnsi="楷体" w:eastAsia="楷体" w:cs="楷体"/>
          <w:color w:val="FF0000"/>
          <w:sz w:val="28"/>
          <w:szCs w:val="28"/>
          <w:highlight w:val="yellow"/>
          <w:u w:val="dotted"/>
        </w:rPr>
        <w:t>招标文件要求的检测报告或者其他证明材料在中标后提供，不作为评分要求。</w:t>
      </w:r>
    </w:p>
    <w:p>
      <w:pPr>
        <w:spacing w:line="336" w:lineRule="auto"/>
        <w:rPr>
          <w:rFonts w:ascii="楷体" w:hAnsi="楷体" w:eastAsia="楷体" w:cs="楷体"/>
          <w:color w:val="FF0000"/>
          <w:sz w:val="28"/>
          <w:szCs w:val="28"/>
          <w:highlight w:val="yellow"/>
          <w:u w:val="dotted"/>
        </w:rPr>
      </w:pPr>
      <w:r>
        <w:rPr>
          <w:rFonts w:hint="eastAsia" w:ascii="楷体" w:hAnsi="楷体" w:eastAsia="楷体" w:cs="楷体"/>
          <w:color w:val="FF0000"/>
          <w:sz w:val="28"/>
          <w:szCs w:val="28"/>
          <w:highlight w:val="yellow"/>
          <w:u w:val="dotted"/>
        </w:rPr>
        <w:t>原“▲和★要求”项作调整，详见调整后的设备清单。</w:t>
      </w:r>
    </w:p>
    <w:p>
      <w:pPr>
        <w:rPr>
          <w:rFonts w:ascii="仿宋" w:hAnsi="仿宋" w:eastAsia="仿宋"/>
          <w:b/>
        </w:rPr>
      </w:pPr>
    </w:p>
    <w:p>
      <w:pPr>
        <w:pStyle w:val="3"/>
        <w:rPr>
          <w:rFonts w:ascii="仿宋" w:hAnsi="仿宋" w:eastAsia="仿宋" w:cs="宋体"/>
        </w:rPr>
      </w:pPr>
      <w:r>
        <w:rPr>
          <w:rFonts w:hint="eastAsia" w:ascii="仿宋" w:hAnsi="仿宋" w:eastAsia="仿宋"/>
        </w:rPr>
        <w:t>3</w:t>
      </w:r>
      <w:r>
        <w:rPr>
          <w:rFonts w:ascii="仿宋" w:hAnsi="仿宋" w:eastAsia="仿宋"/>
        </w:rPr>
        <w:t>.3</w:t>
      </w:r>
      <w:r>
        <w:rPr>
          <w:rFonts w:hint="eastAsia" w:ascii="仿宋" w:hAnsi="仿宋" w:eastAsia="仿宋" w:cs="宋体"/>
        </w:rPr>
        <w:t>质疑事项</w:t>
      </w:r>
      <w:r>
        <w:rPr>
          <w:rFonts w:ascii="仿宋" w:hAnsi="仿宋" w:eastAsia="仿宋" w:cs="宋体"/>
        </w:rPr>
        <w:t>3</w:t>
      </w:r>
    </w:p>
    <w:p>
      <w:pPr>
        <w:pStyle w:val="8"/>
        <w:ind w:firstLine="482"/>
        <w:rPr>
          <w:rFonts w:ascii="仿宋" w:hAnsi="仿宋" w:eastAsia="仿宋"/>
          <w:b/>
        </w:rPr>
      </w:pPr>
      <w:r>
        <w:rPr>
          <w:rFonts w:hint="eastAsia" w:ascii="仿宋" w:hAnsi="仿宋" w:eastAsia="仿宋"/>
          <w:b/>
        </w:rPr>
        <w:t>（1）灭火系统：</w:t>
      </w:r>
      <w:r>
        <w:rPr>
          <w:rFonts w:hint="eastAsia" w:ascii="仿宋" w:hAnsi="仿宋" w:eastAsia="仿宋"/>
        </w:rPr>
        <w:t>1、系统装置包括：控制箱、管路、喷嘴、探测器、易熔连接片、金属拉索、滑轮三通、滑轮弯头等组成。其中控制箱由自动释放机构、驱动用高压氮气瓶、水流控制阀、液体药剂罐以及连接软管、单向阀、减压阀等构成；</w:t>
      </w:r>
    </w:p>
    <w:p>
      <w:pPr>
        <w:rPr>
          <w:rFonts w:ascii="仿宋" w:hAnsi="仿宋" w:eastAsia="仿宋"/>
        </w:rPr>
      </w:pPr>
      <w:r>
        <w:rPr>
          <w:rFonts w:hint="eastAsia" w:ascii="仿宋" w:hAnsi="仿宋" w:eastAsia="仿宋"/>
        </w:rPr>
        <w:t>2、性能参数a工作温度：4-55℃。b最高工作压力：13Mpa。c单个喷嘴最大喷洒速率：0.22L/s。d灭火剂保质期：8年。e药剂喷洒时间：13-15秒。f灭火时间：3-5秒。</w:t>
      </w:r>
    </w:p>
    <w:p>
      <w:pPr>
        <w:rPr>
          <w:rFonts w:ascii="仿宋" w:hAnsi="仿宋" w:eastAsia="仿宋"/>
        </w:rPr>
      </w:pPr>
      <w:r>
        <w:rPr>
          <w:rFonts w:hint="eastAsia" w:ascii="仿宋" w:hAnsi="仿宋" w:eastAsia="仿宋"/>
        </w:rPr>
        <w:t>3、必须提供《应急管理部消防产品合格评定中心》出具的消防产品认证证书。</w:t>
      </w:r>
    </w:p>
    <w:p>
      <w:pPr>
        <w:rPr>
          <w:rFonts w:ascii="仿宋" w:hAnsi="仿宋" w:eastAsia="仿宋"/>
          <w:shd w:val="clear" w:color="auto" w:fill="D0CECE" w:themeFill="background2" w:themeFillShade="E6"/>
        </w:rPr>
      </w:pPr>
      <w:r>
        <w:rPr>
          <w:rFonts w:hint="eastAsia" w:ascii="仿宋" w:hAnsi="仿宋" w:eastAsia="仿宋"/>
          <w:shd w:val="clear" w:color="auto" w:fill="D0CECE" w:themeFill="background2" w:themeFillShade="E6"/>
        </w:rPr>
        <w:t>4、▲充装灭火剂的药剂瓶应符合GB/T2423.22-2012标准，提供合格的检测报告。</w:t>
      </w:r>
    </w:p>
    <w:p>
      <w:pPr>
        <w:rPr>
          <w:rFonts w:ascii="仿宋" w:hAnsi="仿宋" w:eastAsia="仿宋"/>
          <w:shd w:val="clear" w:color="auto" w:fill="D0CECE" w:themeFill="background2" w:themeFillShade="E6"/>
        </w:rPr>
      </w:pPr>
      <w:r>
        <w:rPr>
          <w:rFonts w:hint="eastAsia" w:ascii="仿宋" w:hAnsi="仿宋" w:eastAsia="仿宋"/>
          <w:shd w:val="clear" w:color="auto" w:fill="D0CECE" w:themeFill="background2" w:themeFillShade="E6"/>
        </w:rPr>
        <w:t>5、▲装置使用的灭火剂有效期不少于8年，需提供《国家固定灭火系统和耐火构件质量监督检验中心》出具的型式试验报告证明此项。</w:t>
      </w:r>
    </w:p>
    <w:p>
      <w:pPr>
        <w:rPr>
          <w:rFonts w:ascii="仿宋" w:hAnsi="仿宋" w:eastAsia="仿宋"/>
          <w:shd w:val="clear" w:color="auto" w:fill="D0CECE" w:themeFill="background2" w:themeFillShade="E6"/>
        </w:rPr>
      </w:pPr>
      <w:r>
        <w:rPr>
          <w:rFonts w:hint="eastAsia" w:ascii="仿宋" w:hAnsi="仿宋" w:eastAsia="仿宋"/>
          <w:shd w:val="clear" w:color="auto" w:fill="D0CECE" w:themeFill="background2" w:themeFillShade="E6"/>
        </w:rPr>
        <w:t>6、▲灭火程序启动后的灶台只需要清水清洗即可，灭火剂0毒性，需提供公安部或应急管理部直属机构出具的《食用油专用灭火剂全项试验报告》、《食用油专用灭火剂毒性试验报告》。</w:t>
      </w:r>
    </w:p>
    <w:p>
      <w:pPr>
        <w:rPr>
          <w:rFonts w:ascii="仿宋" w:hAnsi="仿宋" w:eastAsia="仿宋"/>
        </w:rPr>
      </w:pPr>
    </w:p>
    <w:p>
      <w:pPr>
        <w:rPr>
          <w:rFonts w:ascii="仿宋" w:hAnsi="仿宋" w:eastAsia="仿宋"/>
        </w:rPr>
      </w:pPr>
      <w:r>
        <w:rPr>
          <w:rFonts w:hint="eastAsia" w:ascii="仿宋" w:hAnsi="仿宋" w:eastAsia="仿宋"/>
          <w:b/>
        </w:rPr>
        <w:t>（2）电热三缸长龙式洗碗机：</w:t>
      </w:r>
      <w:r>
        <w:rPr>
          <w:rFonts w:hint="eastAsia" w:ascii="仿宋" w:hAnsi="仿宋" w:eastAsia="仿宋"/>
          <w:shd w:val="clear" w:color="auto" w:fill="D0CECE" w:themeFill="background2" w:themeFillShade="E6"/>
        </w:rPr>
        <w:t>▲设备需要过71°试纸测试，需提供第三方检测报告盖章并附上针对项目的水印▲设备不锈钢材料为GB4806.9-2016食品安全国家标准食品接触用金属材料及制品，需提供第三方检测报告盖章并附上针对项目的水印▲长龙机传送带拨爪需符合GB4806.7-2016食品安全国家标准食品接触用塑料材料及制品，需提供第三方检测报告盖章并附上针对项目的水印。</w:t>
      </w:r>
    </w:p>
    <w:p>
      <w:pPr>
        <w:rPr>
          <w:rFonts w:ascii="仿宋" w:hAnsi="仿宋" w:eastAsia="仿宋"/>
        </w:rPr>
      </w:pPr>
    </w:p>
    <w:p>
      <w:pPr>
        <w:rPr>
          <w:rFonts w:ascii="仿宋" w:hAnsi="仿宋" w:eastAsia="仿宋"/>
        </w:rPr>
      </w:pPr>
      <w:r>
        <w:rPr>
          <w:rFonts w:hint="eastAsia" w:ascii="仿宋" w:hAnsi="仿宋" w:eastAsia="仿宋"/>
          <w:b/>
        </w:rPr>
        <w:t>（3）自动收污投递口（汤勺、筷子、残余）</w:t>
      </w:r>
      <w:r>
        <w:rPr>
          <w:rFonts w:hint="eastAsia" w:ascii="仿宋" w:hAnsi="仿宋" w:eastAsia="仿宋"/>
        </w:rPr>
        <w:t>传送带链板具有符合GB4806.7-2016食品安全国家标准，食品接触用塑料材料及制品的检测报告，</w:t>
      </w:r>
      <w:r>
        <w:rPr>
          <w:rFonts w:hint="eastAsia" w:ascii="仿宋" w:hAnsi="仿宋" w:eastAsia="仿宋"/>
          <w:shd w:val="clear" w:color="auto" w:fill="D0CECE" w:themeFill="background2" w:themeFillShade="E6"/>
        </w:rPr>
        <w:t>▲以上资料投标文件中需提供加盖生产厂家公章及本项目名称水印的证明材料，否则视为未提供。</w:t>
      </w:r>
    </w:p>
    <w:p>
      <w:pPr>
        <w:rPr>
          <w:rFonts w:ascii="仿宋" w:hAnsi="仿宋" w:eastAsia="仿宋"/>
        </w:rPr>
      </w:pPr>
    </w:p>
    <w:p>
      <w:pPr>
        <w:rPr>
          <w:rFonts w:ascii="仿宋" w:hAnsi="仿宋" w:eastAsia="仿宋"/>
        </w:rPr>
      </w:pPr>
      <w:r>
        <w:rPr>
          <w:rFonts w:hint="eastAsia" w:ascii="仿宋" w:hAnsi="仿宋" w:eastAsia="仿宋"/>
          <w:b/>
        </w:rPr>
        <w:t>（4）商用食品净化机：</w:t>
      </w:r>
      <w:r>
        <w:rPr>
          <w:rFonts w:hint="eastAsia" w:ascii="仿宋" w:hAnsi="仿宋" w:eastAsia="仿宋"/>
        </w:rPr>
        <w:t>设备应采用壁挂式，额定电压220V-240V、功率：≤500W，减少能源费用和厨房占地面积；工作中要求：不添加或产生臭氧气体，不添加氯等化学制剂，核心部件不结水垢，无耗材，后期使用不产生保养费用投入；叶菜和瓜果最大净化时间不大于8min；肉类最大净化时间不大于10min。</w:t>
      </w:r>
      <w:r>
        <w:rPr>
          <w:rFonts w:hint="eastAsia" w:ascii="仿宋" w:hAnsi="仿宋" w:eastAsia="仿宋"/>
          <w:shd w:val="clear" w:color="auto" w:fill="D0CECE" w:themeFill="background2" w:themeFillShade="E6"/>
        </w:rPr>
        <w:t>1、▲依据GB/T19857-2005标准，6分钟内食材样品经设备运行后，孔雀石绿分解率≥91%；（提供具有CMA标识的检测报告并加盖送检方公章）2、▲依据GB/Z21922-2008、GB5009.6-2016、GB5009.268-2016、GB5009.5-2016等标准，食材样品的能量五项净化前后对比没有明显损失；（提供具有CMA标识的检测报告并加盖送检方公章）3、▲依据农业部1025号公告-18-2008。食材样品经设备运行后，克伦特罗分解率≥99.5%；（提供具有CMA标识的检测报告并加盖送检方公章）4、▲依据消毒技术规范（卫生部2002年版）。10分钟内食材样品经设备运行后，人类冠状病毒229E平均灭杀率≥99%；（提供权威检测报告并加盖送检方公章）5、▲依据GB/T21312-2007、GB/T22338-2008等标准；蛋类经设备运行后，环丙沙星、氯霉素分解率≥96%；（提供具有CMA标识的检测报告并加盖送检方公章）</w:t>
      </w:r>
    </w:p>
    <w:p>
      <w:pPr>
        <w:rPr>
          <w:rFonts w:ascii="仿宋" w:hAnsi="仿宋" w:eastAsia="仿宋"/>
        </w:rPr>
      </w:pPr>
    </w:p>
    <w:p>
      <w:pPr>
        <w:rPr>
          <w:rFonts w:ascii="仿宋" w:hAnsi="仿宋" w:eastAsia="仿宋"/>
          <w:b/>
        </w:rPr>
      </w:pPr>
      <w:r>
        <w:rPr>
          <w:rFonts w:hint="eastAsia" w:ascii="仿宋" w:hAnsi="仿宋" w:eastAsia="仿宋"/>
          <w:b/>
        </w:rPr>
        <w:t>同质疑3.1</w:t>
      </w:r>
    </w:p>
    <w:p>
      <w:pPr>
        <w:ind w:firstLine="361" w:firstLineChars="150"/>
        <w:rPr>
          <w:rFonts w:ascii="仿宋" w:hAnsi="仿宋" w:eastAsia="仿宋"/>
          <w:b/>
        </w:rPr>
      </w:pPr>
      <w:r>
        <w:rPr>
          <w:rFonts w:hint="eastAsia" w:ascii="仿宋" w:hAnsi="仿宋" w:eastAsia="仿宋"/>
          <w:b/>
        </w:rPr>
        <w:t>因为本项目已经被某预中标单位报备，</w:t>
      </w:r>
      <w:r>
        <w:rPr>
          <w:rFonts w:ascii="仿宋" w:hAnsi="仿宋" w:eastAsia="仿宋"/>
          <w:b/>
        </w:rPr>
        <w:t>其他</w:t>
      </w:r>
      <w:r>
        <w:rPr>
          <w:rFonts w:hint="eastAsia" w:ascii="仿宋" w:hAnsi="仿宋" w:eastAsia="仿宋"/>
          <w:b/>
        </w:rPr>
        <w:t>投标人无法拿到对应</w:t>
      </w:r>
      <w:r>
        <w:rPr>
          <w:rFonts w:hint="eastAsia" w:ascii="仿宋" w:hAnsi="仿宋" w:eastAsia="仿宋"/>
          <w:shd w:val="clear" w:color="auto" w:fill="D0CECE" w:themeFill="background2" w:themeFillShade="E6"/>
        </w:rPr>
        <w:t>▲</w:t>
      </w:r>
      <w:r>
        <w:rPr>
          <w:rFonts w:hint="eastAsia" w:ascii="仿宋" w:hAnsi="仿宋" w:eastAsia="仿宋"/>
          <w:b/>
        </w:rPr>
        <w:t>的检测报告，很明显本项目是采购人为预中标单位量身定制的，</w:t>
      </w:r>
      <w:r>
        <w:rPr>
          <w:rFonts w:ascii="仿宋" w:hAnsi="仿宋" w:eastAsia="仿宋"/>
          <w:b/>
        </w:rPr>
        <w:t>这些</w:t>
      </w:r>
      <w:r>
        <w:rPr>
          <w:rFonts w:hint="eastAsia" w:ascii="仿宋" w:hAnsi="仿宋" w:eastAsia="仿宋"/>
          <w:b/>
        </w:rPr>
        <w:t>检测报告不应该放在参数中来限制其他投标人正常公平的参与本项目，</w:t>
      </w:r>
      <w:r>
        <w:rPr>
          <w:rFonts w:ascii="仿宋" w:hAnsi="仿宋" w:eastAsia="仿宋"/>
          <w:b/>
        </w:rPr>
        <w:t>是</w:t>
      </w:r>
      <w:r>
        <w:rPr>
          <w:rFonts w:hint="eastAsia" w:ascii="仿宋" w:hAnsi="仿宋" w:eastAsia="仿宋"/>
          <w:b/>
        </w:rPr>
        <w:t>十分不合理的不合法的，明显是违反《</w:t>
      </w:r>
      <w:r>
        <w:rPr>
          <w:rFonts w:ascii="仿宋" w:hAnsi="仿宋" w:eastAsia="仿宋"/>
          <w:b/>
        </w:rPr>
        <w:t>中华人民共和国招标投标法第三十二条</w:t>
      </w:r>
      <w:r>
        <w:rPr>
          <w:rFonts w:hint="eastAsia" w:ascii="仿宋" w:hAnsi="仿宋" w:eastAsia="仿宋"/>
          <w:b/>
        </w:rPr>
        <w:t>》，</w:t>
      </w:r>
      <w:r>
        <w:rPr>
          <w:rFonts w:ascii="仿宋" w:hAnsi="仿宋" w:eastAsia="仿宋"/>
          <w:b/>
        </w:rPr>
        <w:t>因此</w:t>
      </w:r>
      <w:r>
        <w:rPr>
          <w:rFonts w:hint="eastAsia" w:ascii="仿宋" w:hAnsi="仿宋" w:eastAsia="仿宋"/>
          <w:b/>
        </w:rPr>
        <w:t>这些</w:t>
      </w:r>
      <w:r>
        <w:rPr>
          <w:rFonts w:hint="eastAsia" w:ascii="仿宋" w:hAnsi="仿宋" w:eastAsia="仿宋"/>
          <w:shd w:val="clear" w:color="auto" w:fill="D0CECE" w:themeFill="background2" w:themeFillShade="E6"/>
        </w:rPr>
        <w:t>▲</w:t>
      </w:r>
      <w:r>
        <w:rPr>
          <w:rFonts w:hint="eastAsia" w:ascii="仿宋" w:hAnsi="仿宋" w:eastAsia="仿宋"/>
          <w:b/>
        </w:rPr>
        <w:t>要求的检测报告或者证明材料</w:t>
      </w:r>
      <w:r>
        <w:rPr>
          <w:rFonts w:ascii="仿宋" w:hAnsi="仿宋" w:eastAsia="仿宋"/>
          <w:b/>
        </w:rPr>
        <w:t>必须</w:t>
      </w:r>
      <w:r>
        <w:rPr>
          <w:rFonts w:hint="eastAsia" w:ascii="仿宋" w:hAnsi="仿宋" w:eastAsia="仿宋"/>
          <w:b/>
        </w:rPr>
        <w:t>删除。</w:t>
      </w:r>
    </w:p>
    <w:p>
      <w:pPr>
        <w:rPr>
          <w:rFonts w:ascii="仿宋" w:hAnsi="仿宋" w:eastAsia="仿宋"/>
          <w:b/>
        </w:rPr>
      </w:pPr>
    </w:p>
    <w:p>
      <w:pPr>
        <w:pStyle w:val="3"/>
        <w:rPr>
          <w:rFonts w:ascii="仿宋" w:hAnsi="仿宋" w:eastAsia="仿宋"/>
        </w:rPr>
      </w:pPr>
      <w:r>
        <w:rPr>
          <w:rFonts w:hint="eastAsia" w:ascii="仿宋" w:hAnsi="仿宋" w:eastAsia="仿宋"/>
        </w:rPr>
        <w:t>事实依据：</w:t>
      </w:r>
    </w:p>
    <w:p>
      <w:pPr>
        <w:rPr>
          <w:rFonts w:ascii="仿宋" w:hAnsi="仿宋" w:eastAsia="仿宋"/>
          <w:b/>
        </w:rPr>
      </w:pPr>
      <w:r>
        <w:rPr>
          <w:rFonts w:hint="eastAsia" w:ascii="仿宋" w:hAnsi="仿宋" w:eastAsia="仿宋"/>
          <w:b/>
        </w:rPr>
        <w:t>详见招标清单</w:t>
      </w:r>
    </w:p>
    <w:p>
      <w:pPr>
        <w:rPr>
          <w:rFonts w:ascii="仿宋" w:hAnsi="仿宋" w:eastAsia="仿宋"/>
          <w:b/>
        </w:rPr>
      </w:pPr>
    </w:p>
    <w:p>
      <w:pPr>
        <w:pStyle w:val="3"/>
        <w:rPr>
          <w:rFonts w:ascii="仿宋" w:hAnsi="仿宋" w:eastAsia="仿宋"/>
        </w:rPr>
      </w:pPr>
      <w:r>
        <w:rPr>
          <w:rFonts w:hint="eastAsia" w:ascii="仿宋" w:hAnsi="仿宋" w:eastAsia="仿宋"/>
        </w:rPr>
        <w:t>法律依据：</w:t>
      </w:r>
    </w:p>
    <w:p>
      <w:pPr>
        <w:pStyle w:val="2"/>
        <w:ind w:left="0" w:leftChars="0" w:firstLine="0" w:firstLineChars="0"/>
      </w:pPr>
      <w:r>
        <w:rPr>
          <w:rFonts w:hint="eastAsia" w:ascii="仿宋" w:hAnsi="仿宋" w:eastAsia="仿宋"/>
        </w:rPr>
        <w:t>《</w:t>
      </w:r>
      <w:r>
        <w:rPr>
          <w:rFonts w:ascii="仿宋" w:hAnsi="仿宋" w:eastAsia="仿宋"/>
          <w:b/>
        </w:rPr>
        <w:t>中华人民共和国招标投标法第三十二条</w:t>
      </w:r>
      <w:r>
        <w:rPr>
          <w:rFonts w:hint="eastAsia" w:ascii="仿宋" w:hAnsi="仿宋" w:eastAsia="仿宋"/>
        </w:rPr>
        <w:t>》</w:t>
      </w:r>
    </w:p>
    <w:p>
      <w:pPr>
        <w:pStyle w:val="2"/>
        <w:ind w:left="0"/>
        <w:rPr>
          <w:rFonts w:ascii="楷体" w:hAnsi="楷体" w:eastAsia="楷体" w:cs="楷体"/>
          <w:lang w:eastAsia="zh-CN"/>
        </w:rPr>
      </w:pPr>
    </w:p>
    <w:p>
      <w:pPr>
        <w:spacing w:line="336" w:lineRule="auto"/>
        <w:rPr>
          <w:rFonts w:ascii="楷体" w:hAnsi="楷体" w:eastAsia="楷体" w:cs="楷体"/>
          <w:color w:val="FF0000"/>
          <w:sz w:val="28"/>
          <w:szCs w:val="28"/>
          <w:highlight w:val="yellow"/>
          <w:u w:val="dotted"/>
        </w:rPr>
      </w:pPr>
      <w:r>
        <w:rPr>
          <w:rFonts w:hint="eastAsia" w:ascii="楷体" w:hAnsi="楷体" w:eastAsia="楷体" w:cs="楷体"/>
          <w:color w:val="FF0000"/>
          <w:sz w:val="28"/>
          <w:szCs w:val="28"/>
          <w:highlight w:val="yellow"/>
          <w:u w:val="dotted"/>
          <w:lang w:val="en-US" w:eastAsia="zh-CN"/>
        </w:rPr>
        <w:t>回复：</w:t>
      </w:r>
      <w:r>
        <w:rPr>
          <w:rFonts w:hint="eastAsia" w:ascii="楷体" w:hAnsi="楷体" w:eastAsia="楷体" w:cs="楷体"/>
          <w:color w:val="FF0000"/>
          <w:sz w:val="28"/>
          <w:szCs w:val="28"/>
          <w:highlight w:val="yellow"/>
          <w:u w:val="dotted"/>
        </w:rPr>
        <w:t>招标文件要求的检测报告或者其他证明材料在中标后提供，不作为评分要求。</w:t>
      </w:r>
    </w:p>
    <w:p>
      <w:pPr>
        <w:spacing w:line="336" w:lineRule="auto"/>
        <w:rPr>
          <w:rFonts w:ascii="楷体" w:hAnsi="楷体" w:eastAsia="楷体" w:cs="楷体"/>
          <w:color w:val="FF0000"/>
          <w:sz w:val="28"/>
          <w:szCs w:val="28"/>
          <w:highlight w:val="yellow"/>
          <w:u w:val="dotted"/>
        </w:rPr>
      </w:pPr>
      <w:r>
        <w:rPr>
          <w:rFonts w:hint="eastAsia" w:ascii="楷体" w:hAnsi="楷体" w:eastAsia="楷体" w:cs="楷体"/>
          <w:color w:val="FF0000"/>
          <w:sz w:val="28"/>
          <w:szCs w:val="28"/>
          <w:highlight w:val="yellow"/>
          <w:u w:val="dotted"/>
        </w:rPr>
        <w:t>原“▲和★要求”项作调整，详见调整后的设备清单。</w:t>
      </w:r>
    </w:p>
    <w:p>
      <w:pPr>
        <w:rPr>
          <w:lang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61C"/>
    <w:rsid w:val="00244788"/>
    <w:rsid w:val="00B5361C"/>
    <w:rsid w:val="00D07892"/>
    <w:rsid w:val="04927B1A"/>
    <w:rsid w:val="27DE732F"/>
    <w:rsid w:val="40581A16"/>
    <w:rsid w:val="78F76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jc w:val="both"/>
    </w:pPr>
    <w:rPr>
      <w:rFonts w:asciiTheme="minorEastAsia" w:hAnsiTheme="minorHAnsi" w:eastAsiaTheme="minorEastAsia" w:cstheme="minorBidi"/>
      <w:kern w:val="2"/>
      <w:sz w:val="24"/>
      <w:szCs w:val="22"/>
      <w:lang w:val="en-US" w:eastAsia="zh-CN" w:bidi="ar-SA"/>
    </w:rPr>
  </w:style>
  <w:style w:type="paragraph" w:styleId="3">
    <w:name w:val="heading 3"/>
    <w:basedOn w:val="1"/>
    <w:next w:val="1"/>
    <w:unhideWhenUsed/>
    <w:qFormat/>
    <w:uiPriority w:val="9"/>
    <w:pPr>
      <w:keepNext/>
      <w:keepLines/>
      <w:spacing w:before="60" w:after="60" w:line="240" w:lineRule="auto"/>
      <w:jc w:val="left"/>
      <w:outlineLvl w:val="2"/>
    </w:pPr>
    <w:rPr>
      <w:b/>
      <w:bCs/>
      <w:sz w:val="28"/>
      <w:szCs w:val="32"/>
    </w:rPr>
  </w:style>
  <w:style w:type="paragraph" w:styleId="4">
    <w:name w:val="heading 4"/>
    <w:basedOn w:val="1"/>
    <w:next w:val="1"/>
    <w:unhideWhenUsed/>
    <w:qFormat/>
    <w:uiPriority w:val="9"/>
    <w:pPr>
      <w:keepNext/>
      <w:keepLines/>
      <w:spacing w:before="60" w:after="60"/>
      <w:jc w:val="center"/>
      <w:outlineLvl w:val="3"/>
    </w:pPr>
    <w:rPr>
      <w:rFonts w:asciiTheme="majorHAnsi" w:hAnsiTheme="majorHAnsi" w:eastAsiaTheme="majorEastAsia" w:cstheme="majorBidi"/>
      <w:b/>
      <w:bCs/>
      <w:sz w:val="28"/>
      <w:szCs w:val="28"/>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adjustRightInd/>
      <w:snapToGrid/>
      <w:spacing w:before="206" w:line="240" w:lineRule="auto"/>
      <w:ind w:left="480"/>
      <w:jc w:val="left"/>
    </w:pPr>
    <w:rPr>
      <w:rFonts w:ascii="宋体" w:hAnsi="宋体" w:eastAsia="宋体"/>
      <w:kern w:val="0"/>
      <w:szCs w:val="24"/>
      <w:lang w:eastAsia="en-US"/>
    </w:rPr>
  </w:style>
  <w:style w:type="paragraph" w:styleId="5">
    <w:name w:val="toa heading"/>
    <w:basedOn w:val="1"/>
    <w:next w:val="1"/>
    <w:semiHidden/>
    <w:unhideWhenUsed/>
    <w:uiPriority w:val="99"/>
    <w:pPr>
      <w:spacing w:before="120" w:beforeLines="0" w:beforeAutospacing="0"/>
    </w:pPr>
    <w:rPr>
      <w:rFonts w:ascii="Arial" w:hAnsi="Arial"/>
      <w:sz w:val="24"/>
    </w:rPr>
  </w:style>
  <w:style w:type="paragraph" w:customStyle="1" w:styleId="8">
    <w:name w:val="正文2"/>
    <w:basedOn w:val="1"/>
    <w:next w:val="1"/>
    <w:qFormat/>
    <w:uiPriority w:val="0"/>
    <w:pPr>
      <w:ind w:firstLine="200" w:firstLineChars="200"/>
    </w:pPr>
  </w:style>
  <w:style w:type="paragraph" w:customStyle="1" w:styleId="9">
    <w:name w:val="标题5"/>
    <w:basedOn w:val="4"/>
    <w:qFormat/>
    <w:uiPriority w:val="0"/>
    <w:pPr>
      <w:jc w:val="left"/>
      <w:outlineLvl w:val="4"/>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emf"/><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979</Words>
  <Characters>5582</Characters>
  <Lines>46</Lines>
  <Paragraphs>13</Paragraphs>
  <TotalTime>1</TotalTime>
  <ScaleCrop>false</ScaleCrop>
  <LinksUpToDate>false</LinksUpToDate>
  <CharactersWithSpaces>6548</CharactersWithSpaces>
  <Application>WPS Office_11.1.0.11579_F1E327BC-269C-435d-A152-05C5408002CA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2022-11-02T04:20:00Z</dcterms:created>
  <dc:creator>HP</dc:creator>
  <cp:lastModifiedBy>钱秋霞</cp:lastModifiedBy>
  <dcterms:modified xsi:type="dcterms:W3CDTF">2022-11-02T08:41:55Z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C43BEA7157774629AC9A40D771381DA7</vt:lpwstr>
  </property>
</Properties>
</file>